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cs="Arial"/>
        </w:rPr>
      </w:pPr>
      <w:r>
        <w:rPr>
          <w:rFonts w:cs="Arial" w:ascii="Arial" w:hAnsi="Arial"/>
        </w:rPr>
        <w:t xml:space="preserve"> </w:t>
      </w:r>
      <w:bookmarkStart w:id="0" w:name="_GoBack"/>
      <w:bookmarkEnd w:id="0"/>
    </w:p>
    <w:p>
      <w:pPr>
        <w:pStyle w:val="Normal"/>
        <w:jc w:val="both"/>
        <w:rPr>
          <w:rFonts w:ascii="Arial" w:hAnsi="Arial" w:cs="Arial"/>
        </w:rPr>
      </w:pPr>
      <w:r>
        <w:rPr>
          <w:rFonts w:cs="Arial" w:ascii="Arial" w:hAnsi="Arial"/>
        </w:rPr>
        <mc:AlternateContent>
          <mc:Choice Requires="wps">
            <w:drawing>
              <wp:anchor behindDoc="1" distT="0" distB="0" distL="0" distR="0" simplePos="0" locked="0" layoutInCell="0" allowOverlap="1" relativeHeight="2">
                <wp:simplePos x="0" y="0"/>
                <wp:positionH relativeFrom="page">
                  <wp:align>center</wp:align>
                </wp:positionH>
                <wp:positionV relativeFrom="page">
                  <wp:align>center</wp:align>
                </wp:positionV>
                <wp:extent cx="6858635" cy="9144635"/>
                <wp:effectExtent l="0" t="0" r="0" b="0"/>
                <wp:wrapNone/>
                <wp:docPr id="1" name="Image1"/>
                <a:graphic xmlns:a="http://schemas.openxmlformats.org/drawingml/2006/main">
                  <a:graphicData uri="http://schemas.microsoft.com/office/word/2010/wordprocessingShape">
                    <wps:wsp>
                      <wps:cNvSpPr/>
                      <wps:spPr>
                        <a:xfrm>
                          <a:off x="0" y="0"/>
                          <a:ext cx="6858000" cy="9144000"/>
                        </a:xfrm>
                        <a:prstGeom prst="rect">
                          <a:avLst/>
                        </a:prstGeom>
                        <a:noFill/>
                        <a:ln w="0">
                          <a:noFill/>
                        </a:ln>
                      </wps:spPr>
                      <wps:style>
                        <a:lnRef idx="0"/>
                        <a:fillRef idx="0"/>
                        <a:effectRef idx="0"/>
                        <a:fontRef idx="minor"/>
                      </wps:style>
                      <wps:txbx>
                        <w:txbxContent>
                          <w:tbl>
                            <w:tblPr>
                              <w:tblW w:w="5000" w:type="pct"/>
                              <w:jc w:val="left"/>
                              <w:tblInd w:w="0" w:type="dxa"/>
                              <w:tblLayout w:type="fixed"/>
                              <w:tblCellMar>
                                <w:top w:w="0" w:type="dxa"/>
                                <w:left w:w="0" w:type="dxa"/>
                                <w:bottom w:w="0" w:type="dxa"/>
                                <w:right w:w="0" w:type="dxa"/>
                              </w:tblCellMar>
                              <w:tblLook w:val="04a0"/>
                            </w:tblPr>
                            <w:tblGrid>
                              <w:gridCol w:w="10801"/>
                            </w:tblGrid>
                            <w:tr>
                              <w:trPr>
                                <w:trHeight w:val="9360" w:hRule="exact"/>
                              </w:trPr>
                              <w:tc>
                                <w:tcPr>
                                  <w:tcW w:w="10801" w:type="dxa"/>
                                  <w:tcBorders/>
                                </w:tcPr>
                                <w:sdt>
                                  <w:sdtPr>
                                    <w:docPartObj>
                                      <w:docPartGallery w:val="Cover Pages"/>
                                      <w:docPartUnique w:val="true"/>
                                    </w:docPartObj>
                                    <w:id w:val="1068565511"/>
                                  </w:sdtPr>
                                  <w:sdtContent>
                                    <w:p>
                                      <w:pPr>
                                        <w:pStyle w:val="FrameContents"/>
                                        <w:widowControl w:val="false"/>
                                        <w:tabs>
                                          <w:tab w:val="clear" w:pos="708"/>
                                          <w:tab w:val="left" w:pos="684" w:leader="none"/>
                                        </w:tabs>
                                        <w:spacing w:before="0" w:after="120"/>
                                        <w:rPr/>
                                      </w:pPr>
                                      <w:r>
                                        <w:rPr/>
                                      </w:r>
                                    </w:p>
                                  </w:sdtContent>
                                </w:sdt>
                              </w:tc>
                            </w:tr>
                            <w:tr>
                              <w:trPr>
                                <w:trHeight w:val="4320" w:hRule="exact"/>
                              </w:trPr>
                              <w:tc>
                                <w:tcPr>
                                  <w:tcW w:w="10801" w:type="dxa"/>
                                  <w:tcBorders/>
                                  <w:shd w:color="auto" w:fill="4472C4" w:themeFill="accent1" w:val="clear"/>
                                  <w:vAlign w:val="center"/>
                                </w:tcPr>
                                <w:p>
                                  <w:pPr>
                                    <w:pStyle w:val="NoSpacing"/>
                                    <w:widowControl w:val="false"/>
                                    <w:spacing w:lineRule="auto" w:line="216" w:before="200" w:after="0"/>
                                    <w:ind w:left="720" w:right="720" w:hanging="0"/>
                                    <w:jc w:val="center"/>
                                    <w:rPr>
                                      <w:rFonts w:ascii="Calibri Light" w:hAnsi="Calibri Light" w:asciiTheme="majorHAnsi" w:hAnsiTheme="majorHAnsi"/>
                                      <w:color w:val="FFFFFF" w:themeColor="background1"/>
                                      <w:sz w:val="96"/>
                                      <w:szCs w:val="96"/>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rFonts w:ascii="Calibri Light" w:hAnsi="Calibri Light" w:asciiTheme="majorHAnsi" w:hAnsiTheme="majorHAnsi"/>
                                          <w:color w:val="FFFFFF" w:themeColor="background1"/>
                                          <w:sz w:val="96"/>
                                          <w:szCs w:val="96"/>
                                        </w:rPr>
                                        <w:t>Scrisoarea de Așteptări</w:t>
                                      </w:r>
                                    </w:sdtContent>
                                  </w:sdt>
                                </w:p>
                                <w:p>
                                  <w:pPr>
                                    <w:pStyle w:val="NoSpacing"/>
                                    <w:widowControl w:val="false"/>
                                    <w:spacing w:before="240" w:after="0"/>
                                    <w:ind w:left="720" w:right="720" w:hanging="0"/>
                                    <w:jc w:val="center"/>
                                    <w:rPr>
                                      <w:color w:val="FFFFFF" w:themeColor="background1"/>
                                      <w:sz w:val="32"/>
                                      <w:szCs w:val="32"/>
                                    </w:rPr>
                                  </w:pPr>
                                  <w:sdt>
                                    <w:sdtPr>
                                      <w:text/>
                                      <w:dataBinding w:prefixMappings="xmlns:ns0='http://purl.org/dc/elements/1.1/' xmlns:ns1='http://schemas.openxmlformats.org/package/2006/metadata/core-properties' " w:xpath="/ns1:coreProperties[1]/ns0:subject[1]" w:storeItemID="{6C3C8BC8-F283-45AE-878A-BAB7291924A1}"/>
                                      <w:alias w:val="Subtitle"/>
                                    </w:sdtPr>
                                    <w:sdtContent>
                                      <w:r>
                                        <w:rPr>
                                          <w:color w:val="FFFFFF" w:themeColor="background1"/>
                                          <w:sz w:val="44"/>
                                          <w:szCs w:val="32"/>
                                        </w:rPr>
                                        <w:t xml:space="preserve">a Acționarilor </w:t>
                                      </w:r>
                                      <w:r>
                                        <w:rPr>
                                          <w:color w:val="FFFFFF" w:themeColor="background1"/>
                                          <w:sz w:val="44"/>
                                          <w:szCs w:val="32"/>
                                        </w:rPr>
                                        <w:t>TRANSPORT PUBLIC S.A.                                           pentru perioada 2025 -</w:t>
                                      </w:r>
                                    </w:sdtContent>
                                  </w:sdt>
                                  <w:r>
                                    <w:rPr>
                                      <w:color w:val="FFFFFF" w:themeColor="background1"/>
                                      <w:sz w:val="44"/>
                                      <w:szCs w:val="32"/>
                                    </w:rPr>
                                    <w:t xml:space="preserve"> 2029</w:t>
                                  </w:r>
                                </w:p>
                              </w:tc>
                            </w:tr>
                            <w:tr>
                              <w:trPr>
                                <w:trHeight w:val="720" w:hRule="exact"/>
                              </w:trPr>
                              <w:tc>
                                <w:tcPr>
                                  <w:tcW w:w="10801" w:type="dxa"/>
                                  <w:tcBorders/>
                                  <w:shd w:color="auto" w:fill="70AD47" w:themeFill="accent6" w:val="clear"/>
                                </w:tcPr>
                                <w:tbl>
                                  <w:tblPr>
                                    <w:tblW w:w="5000" w:type="pct"/>
                                    <w:jc w:val="left"/>
                                    <w:tblInd w:w="0" w:type="dxa"/>
                                    <w:tblLayout w:type="fixed"/>
                                    <w:tblCellMar>
                                      <w:top w:w="0" w:type="dxa"/>
                                      <w:left w:w="0" w:type="dxa"/>
                                      <w:bottom w:w="0" w:type="dxa"/>
                                      <w:right w:w="0" w:type="dxa"/>
                                    </w:tblCellMar>
                                    <w:tblLook w:val="04a0"/>
                                  </w:tblPr>
                                  <w:tblGrid>
                                    <w:gridCol w:w="2966"/>
                                    <w:gridCol w:w="2970"/>
                                    <w:gridCol w:w="4865"/>
                                  </w:tblGrid>
                                  <w:tr>
                                    <w:trPr>
                                      <w:trHeight w:val="720" w:hRule="exact"/>
                                    </w:trPr>
                                    <w:tc>
                                      <w:tcPr>
                                        <w:tcW w:w="2966" w:type="dxa"/>
                                        <w:tcBorders/>
                                        <w:vAlign w:val="center"/>
                                      </w:tcPr>
                                      <w:p>
                                        <w:pPr>
                                          <w:pStyle w:val="NoSpacing"/>
                                          <w:widowControl w:val="false"/>
                                          <w:ind w:left="144" w:right="144" w:hanging="0"/>
                                          <w:jc w:val="center"/>
                                          <w:rPr>
                                            <w:color w:val="FFFFFF" w:themeColor="background1"/>
                                          </w:rPr>
                                        </w:pPr>
                                        <w:r>
                                          <w:rPr>
                                            <w:color w:val="FFFFFF" w:themeColor="background1"/>
                                          </w:rPr>
                                        </w:r>
                                      </w:p>
                                    </w:tc>
                                    <w:tc>
                                      <w:tcPr>
                                        <w:tcW w:w="2970" w:type="dxa"/>
                                        <w:tcBorders/>
                                        <w:vAlign w:val="center"/>
                                      </w:tcPr>
                                      <w:p>
                                        <w:pPr>
                                          <w:pStyle w:val="NoSpacing"/>
                                          <w:widowControl w:val="false"/>
                                          <w:ind w:left="144" w:right="144" w:hanging="0"/>
                                          <w:jc w:val="center"/>
                                          <w:rPr>
                                            <w:color w:val="FFFFFF" w:themeColor="background1"/>
                                          </w:rPr>
                                        </w:pPr>
                                        <w:r>
                                          <w:rPr>
                                            <w:color w:val="FFFFFF" w:themeColor="background1"/>
                                          </w:rPr>
                                        </w:r>
                                      </w:p>
                                    </w:tc>
                                    <w:tc>
                                      <w:tcPr>
                                        <w:tcW w:w="4865" w:type="dxa"/>
                                        <w:tcBorders/>
                                        <w:vAlign w:val="center"/>
                                      </w:tcPr>
                                      <w:sdt>
                                        <w:sdtPr>
                                          <w:text/>
                                          <w:id w:val="275090141"/>
                                          <w:dataBinding w:prefixMappings="xmlns:ns0='http://purl.org/dc/elements/1.1/' xmlns:ns1='http://schemas.openxmlformats.org/package/2006/metadata/core-properties' " w:xpath="/ns1:coreProperties[1]/ns1:category[1]" w:storeItemID="{6C3C8BC8-F283-45AE-878A-BAB7291924A1}"/>
                                          <w:alias w:val="Course title"/>
                                        </w:sdtPr>
                                        <w:sdtContent>
                                          <w:p>
                                            <w:pPr>
                                              <w:pStyle w:val="NoSpacing"/>
                                              <w:widowControl w:val="false"/>
                                              <w:ind w:left="144" w:right="720" w:hanging="0"/>
                                              <w:rPr>
                                                <w:color w:val="FFFFFF" w:themeColor="background1"/>
                                                <w:lang w:val="fr-FR"/>
                                              </w:rPr>
                                            </w:pPr>
                                            <w:r>
                                              <w:rPr>
                                                <w:color w:val="C00000"/>
                                                <w:lang w:val="fr-FR"/>
                                              </w:rPr>
                                            </w:r>
                                          </w:p>
                                        </w:sdtContent>
                                      </w:sdt>
                                    </w:tc>
                                  </w:tr>
                                </w:tbl>
                                <w:p>
                                  <w:pPr>
                                    <w:pStyle w:val="FrameContents"/>
                                    <w:widowControl w:val="false"/>
                                    <w:spacing w:before="0" w:after="120"/>
                                    <w:rPr/>
                                  </w:pPr>
                                  <w:r>
                                    <w:rPr/>
                                  </w:r>
                                </w:p>
                              </w:tc>
                            </w:tr>
                          </w:tbl>
                          <w:p>
                            <w:pPr>
                              <w:pStyle w:val="FrameContents"/>
                              <w:spacing w:before="0" w:after="120"/>
                              <w:rPr/>
                            </w:pPr>
                            <w:r>
                              <w:rPr/>
                            </w:r>
                          </w:p>
                        </w:txbxContent>
                      </wps:txbx>
                      <wps:bodyPr lIns="0" rIns="0" tIns="0" bIns="0">
                        <a:noAutofit/>
                      </wps:bodyPr>
                    </wps:wsp>
                  </a:graphicData>
                </a:graphic>
              </wp:anchor>
            </w:drawing>
          </mc:Choice>
          <mc:Fallback>
            <w:pict>
              <v:rect id="shape_0" ID="Image1" path="m0,0l-2147483645,0l-2147483645,-2147483646l0,-2147483646xe" fillcolor="white" stroked="f" style="position:absolute;margin-left:27.65pt;margin-top:60.95pt;width:539.95pt;height:719.95pt;mso-wrap-style:none;v-text-anchor:middle;mso-position-horizontal:center;mso-position-horizontal-relative:page;mso-position-vertical:center;mso-position-vertical-relative:page">
                <v:fill o:detectmouseclick="t" type="solid" color2="black" opacity="0"/>
                <v:stroke color="#3465a4" joinstyle="round" endcap="flat"/>
                <v:textbox>
                  <w:txbxContent>
                    <w:tbl>
                      <w:tblPr>
                        <w:tblW w:w="5000" w:type="pct"/>
                        <w:jc w:val="left"/>
                        <w:tblInd w:w="0" w:type="dxa"/>
                        <w:tblLayout w:type="fixed"/>
                        <w:tblCellMar>
                          <w:top w:w="0" w:type="dxa"/>
                          <w:left w:w="0" w:type="dxa"/>
                          <w:bottom w:w="0" w:type="dxa"/>
                          <w:right w:w="0" w:type="dxa"/>
                        </w:tblCellMar>
                        <w:tblLook w:val="04a0"/>
                      </w:tblPr>
                      <w:tblGrid>
                        <w:gridCol w:w="10801"/>
                      </w:tblGrid>
                      <w:tr>
                        <w:trPr>
                          <w:trHeight w:val="9360" w:hRule="exact"/>
                        </w:trPr>
                        <w:tc>
                          <w:tcPr>
                            <w:tcW w:w="10801" w:type="dxa"/>
                            <w:tcBorders/>
                          </w:tcPr>
                          <w:sdt>
                            <w:sdtPr>
                              <w:docPartObj>
                                <w:docPartGallery w:val="Cover Pages"/>
                                <w:docPartUnique w:val="true"/>
                              </w:docPartObj>
                              <w:id w:val="2081234073"/>
                            </w:sdtPr>
                            <w:sdtContent>
                              <w:p>
                                <w:pPr>
                                  <w:pStyle w:val="FrameContents"/>
                                  <w:widowControl w:val="false"/>
                                  <w:tabs>
                                    <w:tab w:val="clear" w:pos="708"/>
                                    <w:tab w:val="left" w:pos="684" w:leader="none"/>
                                  </w:tabs>
                                  <w:spacing w:before="0" w:after="120"/>
                                  <w:rPr/>
                                </w:pPr>
                                <w:r>
                                  <w:rPr/>
                                </w:r>
                              </w:p>
                            </w:sdtContent>
                          </w:sdt>
                        </w:tc>
                      </w:tr>
                      <w:tr>
                        <w:trPr>
                          <w:trHeight w:val="4320" w:hRule="exact"/>
                        </w:trPr>
                        <w:tc>
                          <w:tcPr>
                            <w:tcW w:w="10801" w:type="dxa"/>
                            <w:tcBorders/>
                            <w:shd w:color="auto" w:fill="4472C4" w:themeFill="accent1" w:val="clear"/>
                            <w:vAlign w:val="center"/>
                          </w:tcPr>
                          <w:p>
                            <w:pPr>
                              <w:pStyle w:val="NoSpacing"/>
                              <w:widowControl w:val="false"/>
                              <w:spacing w:lineRule="auto" w:line="216" w:before="200" w:after="0"/>
                              <w:ind w:left="720" w:right="720" w:hanging="0"/>
                              <w:jc w:val="center"/>
                              <w:rPr>
                                <w:rFonts w:ascii="Calibri Light" w:hAnsi="Calibri Light" w:asciiTheme="majorHAnsi" w:hAnsiTheme="majorHAnsi"/>
                                <w:color w:val="FFFFFF" w:themeColor="background1"/>
                                <w:sz w:val="96"/>
                                <w:szCs w:val="96"/>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rFonts w:ascii="Calibri Light" w:hAnsi="Calibri Light" w:asciiTheme="majorHAnsi" w:hAnsiTheme="majorHAnsi"/>
                                    <w:color w:val="FFFFFF" w:themeColor="background1"/>
                                    <w:sz w:val="96"/>
                                    <w:szCs w:val="96"/>
                                  </w:rPr>
                                  <w:t>Scrisoarea de Așteptări</w:t>
                                </w:r>
                              </w:sdtContent>
                            </w:sdt>
                          </w:p>
                          <w:p>
                            <w:pPr>
                              <w:pStyle w:val="NoSpacing"/>
                              <w:widowControl w:val="false"/>
                              <w:spacing w:before="240" w:after="0"/>
                              <w:ind w:left="720" w:right="720" w:hanging="0"/>
                              <w:jc w:val="center"/>
                              <w:rPr>
                                <w:color w:val="FFFFFF" w:themeColor="background1"/>
                                <w:sz w:val="32"/>
                                <w:szCs w:val="32"/>
                              </w:rPr>
                            </w:pPr>
                            <w:sdt>
                              <w:sdtPr>
                                <w:text/>
                                <w:dataBinding w:prefixMappings="xmlns:ns0='http://purl.org/dc/elements/1.1/' xmlns:ns1='http://schemas.openxmlformats.org/package/2006/metadata/core-properties' " w:xpath="/ns1:coreProperties[1]/ns0:subject[1]" w:storeItemID="{6C3C8BC8-F283-45AE-878A-BAB7291924A1}"/>
                                <w:alias w:val="Subtitle"/>
                              </w:sdtPr>
                              <w:sdtContent>
                                <w:r>
                                  <w:rPr>
                                    <w:color w:val="FFFFFF" w:themeColor="background1"/>
                                    <w:sz w:val="44"/>
                                    <w:szCs w:val="32"/>
                                  </w:rPr>
                                  <w:t xml:space="preserve">a Acționarilor </w:t>
                                </w:r>
                                <w:r>
                                  <w:rPr>
                                    <w:color w:val="FFFFFF" w:themeColor="background1"/>
                                    <w:sz w:val="44"/>
                                    <w:szCs w:val="32"/>
                                  </w:rPr>
                                  <w:t>TRANSPORT PUBLIC S.A.                                           pentru perioada 2025 -</w:t>
                                </w:r>
                              </w:sdtContent>
                            </w:sdt>
                            <w:r>
                              <w:rPr>
                                <w:color w:val="FFFFFF" w:themeColor="background1"/>
                                <w:sz w:val="44"/>
                                <w:szCs w:val="32"/>
                              </w:rPr>
                              <w:t xml:space="preserve"> 2029</w:t>
                            </w:r>
                          </w:p>
                        </w:tc>
                      </w:tr>
                      <w:tr>
                        <w:trPr>
                          <w:trHeight w:val="720" w:hRule="exact"/>
                        </w:trPr>
                        <w:tc>
                          <w:tcPr>
                            <w:tcW w:w="10801" w:type="dxa"/>
                            <w:tcBorders/>
                            <w:shd w:color="auto" w:fill="70AD47" w:themeFill="accent6" w:val="clear"/>
                          </w:tcPr>
                          <w:tbl>
                            <w:tblPr>
                              <w:tblW w:w="5000" w:type="pct"/>
                              <w:jc w:val="left"/>
                              <w:tblInd w:w="0" w:type="dxa"/>
                              <w:tblLayout w:type="fixed"/>
                              <w:tblCellMar>
                                <w:top w:w="0" w:type="dxa"/>
                                <w:left w:w="0" w:type="dxa"/>
                                <w:bottom w:w="0" w:type="dxa"/>
                                <w:right w:w="0" w:type="dxa"/>
                              </w:tblCellMar>
                              <w:tblLook w:val="04a0"/>
                            </w:tblPr>
                            <w:tblGrid>
                              <w:gridCol w:w="2966"/>
                              <w:gridCol w:w="2970"/>
                              <w:gridCol w:w="4865"/>
                            </w:tblGrid>
                            <w:tr>
                              <w:trPr>
                                <w:trHeight w:val="720" w:hRule="exact"/>
                              </w:trPr>
                              <w:tc>
                                <w:tcPr>
                                  <w:tcW w:w="2966" w:type="dxa"/>
                                  <w:tcBorders/>
                                  <w:vAlign w:val="center"/>
                                </w:tcPr>
                                <w:p>
                                  <w:pPr>
                                    <w:pStyle w:val="NoSpacing"/>
                                    <w:widowControl w:val="false"/>
                                    <w:ind w:left="144" w:right="144" w:hanging="0"/>
                                    <w:jc w:val="center"/>
                                    <w:rPr>
                                      <w:color w:val="FFFFFF" w:themeColor="background1"/>
                                    </w:rPr>
                                  </w:pPr>
                                  <w:r>
                                    <w:rPr>
                                      <w:color w:val="FFFFFF" w:themeColor="background1"/>
                                    </w:rPr>
                                  </w:r>
                                </w:p>
                              </w:tc>
                              <w:tc>
                                <w:tcPr>
                                  <w:tcW w:w="2970" w:type="dxa"/>
                                  <w:tcBorders/>
                                  <w:vAlign w:val="center"/>
                                </w:tcPr>
                                <w:p>
                                  <w:pPr>
                                    <w:pStyle w:val="NoSpacing"/>
                                    <w:widowControl w:val="false"/>
                                    <w:ind w:left="144" w:right="144" w:hanging="0"/>
                                    <w:jc w:val="center"/>
                                    <w:rPr>
                                      <w:color w:val="FFFFFF" w:themeColor="background1"/>
                                    </w:rPr>
                                  </w:pPr>
                                  <w:r>
                                    <w:rPr>
                                      <w:color w:val="FFFFFF" w:themeColor="background1"/>
                                    </w:rPr>
                                  </w:r>
                                </w:p>
                              </w:tc>
                              <w:tc>
                                <w:tcPr>
                                  <w:tcW w:w="4865" w:type="dxa"/>
                                  <w:tcBorders/>
                                  <w:vAlign w:val="center"/>
                                </w:tcPr>
                                <w:sdt>
                                  <w:sdtPr>
                                    <w:text/>
                                    <w:id w:val="1532250662"/>
                                    <w:dataBinding w:prefixMappings="xmlns:ns0='http://purl.org/dc/elements/1.1/' xmlns:ns1='http://schemas.openxmlformats.org/package/2006/metadata/core-properties' " w:xpath="/ns1:coreProperties[1]/ns1:category[1]" w:storeItemID="{6C3C8BC8-F283-45AE-878A-BAB7291924A1}"/>
                                    <w:alias w:val="Course title"/>
                                  </w:sdtPr>
                                  <w:sdtContent>
                                    <w:p>
                                      <w:pPr>
                                        <w:pStyle w:val="NoSpacing"/>
                                        <w:widowControl w:val="false"/>
                                        <w:ind w:left="144" w:right="720" w:hanging="0"/>
                                        <w:rPr>
                                          <w:color w:val="FFFFFF" w:themeColor="background1"/>
                                          <w:lang w:val="fr-FR"/>
                                        </w:rPr>
                                      </w:pPr>
                                      <w:r>
                                        <w:rPr>
                                          <w:color w:val="C00000"/>
                                          <w:lang w:val="fr-FR"/>
                                        </w:rPr>
                                      </w:r>
                                    </w:p>
                                  </w:sdtContent>
                                </w:sdt>
                              </w:tc>
                            </w:tr>
                          </w:tbl>
                          <w:p>
                            <w:pPr>
                              <w:pStyle w:val="FrameContents"/>
                              <w:widowControl w:val="false"/>
                              <w:spacing w:before="0" w:after="120"/>
                              <w:rPr/>
                            </w:pPr>
                            <w:r>
                              <w:rPr/>
                            </w:r>
                          </w:p>
                        </w:tc>
                      </w:tr>
                    </w:tbl>
                    <w:p>
                      <w:pPr>
                        <w:pStyle w:val="FrameContents"/>
                        <w:spacing w:before="0" w:after="120"/>
                        <w:rPr/>
                      </w:pPr>
                      <w:r>
                        <w:rPr/>
                      </w:r>
                    </w:p>
                  </w:txbxContent>
                </v:textbox>
                <w10:wrap type="none"/>
              </v:rect>
            </w:pict>
          </mc:Fallback>
        </mc:AlternateContent>
      </w:r>
    </w:p>
    <w:p>
      <w:pPr>
        <w:pStyle w:val="Normal"/>
        <w:spacing w:before="0" w:after="160"/>
        <w:jc w:val="both"/>
        <w:rPr>
          <w:rFonts w:ascii="Arial" w:hAnsi="Arial" w:cs="Arial"/>
        </w:rPr>
      </w:pPr>
      <w:r>
        <w:rPr>
          <w:rFonts w:cs="Arial" w:ascii="Arial" w:hAnsi="Arial"/>
        </w:rPr>
      </w:r>
    </w:p>
    <w:sdt>
      <w:sdtPr>
        <w:docPartObj>
          <w:docPartGallery w:val="Table of Contents"/>
          <w:docPartUnique w:val="true"/>
        </w:docPartObj>
        <w:id w:val="1552152299"/>
      </w:sdtPr>
      <w:sdtContent>
        <w:p>
          <w:pPr>
            <w:pStyle w:val="TOCHeading"/>
            <w:spacing w:lineRule="auto" w:line="276"/>
            <w:jc w:val="center"/>
            <w:rPr>
              <w:color w:val="000000"/>
            </w:rPr>
          </w:pPr>
          <w:r>
            <w:br w:type="page"/>
          </w:r>
          <w:r>
            <w:rPr>
              <w:rFonts w:cs="Arial" w:ascii="Arial" w:hAnsi="Arial"/>
              <w:b/>
              <w:bCs/>
              <w:color w:val="000000"/>
              <w:lang w:val="ro-RO"/>
            </w:rPr>
            <w:t>C U P R I N S</w:t>
          </w:r>
        </w:p>
        <w:p>
          <w:pPr>
            <w:pStyle w:val="Normal"/>
            <w:jc w:val="both"/>
            <w:rPr>
              <w:rFonts w:ascii="Arial" w:hAnsi="Arial" w:cs="Arial"/>
              <w:color w:val="000000"/>
            </w:rPr>
          </w:pPr>
          <w:r>
            <w:rPr>
              <w:rFonts w:cs="Arial" w:ascii="Arial" w:hAnsi="Arial"/>
              <w:color w:val="000000"/>
            </w:rPr>
          </w:r>
        </w:p>
        <w:p>
          <w:pPr>
            <w:pStyle w:val="Contents1"/>
            <w:tabs>
              <w:tab w:val="clear" w:pos="708"/>
              <w:tab w:val="left" w:pos="660" w:leader="none"/>
              <w:tab w:val="right" w:pos="9440" w:leader="dot"/>
            </w:tabs>
            <w:rPr/>
          </w:pPr>
          <w:r>
            <w:fldChar w:fldCharType="begin"/>
          </w:r>
          <w:r>
            <w:rPr>
              <w:webHidden/>
              <w:rStyle w:val="IndexLink"/>
              <w:b/>
              <w:bCs/>
              <w:vanish w:val="false"/>
              <w:rFonts w:cs="Arial" w:ascii="Arial" w:hAnsi="Arial"/>
              <w:color w:val="000000"/>
            </w:rPr>
            <w:instrText> TOC \z \o "1-3" \u \h</w:instrText>
          </w:r>
          <w:r>
            <w:rPr>
              <w:webHidden/>
              <w:rStyle w:val="IndexLink"/>
              <w:b/>
              <w:bCs/>
              <w:vanish w:val="false"/>
              <w:rFonts w:cs="Arial" w:ascii="Arial" w:hAnsi="Arial"/>
              <w:color w:val="000000"/>
            </w:rPr>
            <w:fldChar w:fldCharType="separate"/>
          </w:r>
          <w:hyperlink w:anchor="_Toc193471042">
            <w:r>
              <w:rPr>
                <w:webHidden/>
                <w:rStyle w:val="IndexLink"/>
                <w:rFonts w:cs="Arial" w:ascii="Arial" w:hAnsi="Arial"/>
                <w:b/>
                <w:bCs/>
                <w:vanish w:val="false"/>
                <w:color w:val="000000"/>
              </w:rPr>
              <w:t>(1)</w:t>
            </w:r>
            <w:r>
              <w:rPr>
                <w:rStyle w:val="IndexLink"/>
                <w:rFonts w:eastAsia="" w:eastAsiaTheme="minorEastAsia"/>
                <w:color w:val="000000"/>
                <w:lang w:val="en-US"/>
              </w:rPr>
              <w:tab/>
            </w:r>
            <w:r>
              <w:rPr>
                <w:rStyle w:val="IndexLink"/>
                <w:rFonts w:cs="Arial" w:ascii="Arial" w:hAnsi="Arial"/>
                <w:b/>
                <w:bCs/>
                <w:color w:val="000000"/>
              </w:rPr>
              <w:t>Introducere</w:t>
            </w:r>
            <w:r>
              <w:rPr>
                <w:webHidden/>
              </w:rPr>
              <w:fldChar w:fldCharType="begin"/>
            </w:r>
            <w:r>
              <w:rPr>
                <w:webHidden/>
              </w:rPr>
              <w:instrText>PAGEREF _Toc193471042 \h</w:instrText>
            </w:r>
            <w:r>
              <w:rPr>
                <w:webHidden/>
              </w:rPr>
              <w:fldChar w:fldCharType="separate"/>
            </w:r>
            <w:r>
              <w:rPr>
                <w:rStyle w:val="IndexLink"/>
                <w:vanish w:val="false"/>
                <w:color w:val="000000"/>
              </w:rPr>
              <w:tab/>
              <w:t>2</w:t>
            </w:r>
            <w:r>
              <w:rPr>
                <w:webHidden/>
              </w:rPr>
              <w:fldChar w:fldCharType="end"/>
            </w:r>
          </w:hyperlink>
        </w:p>
        <w:p>
          <w:pPr>
            <w:pStyle w:val="Contents2"/>
            <w:tabs>
              <w:tab w:val="clear" w:pos="708"/>
              <w:tab w:val="left" w:pos="880" w:leader="none"/>
              <w:tab w:val="right" w:pos="9440" w:leader="dot"/>
            </w:tabs>
            <w:rPr/>
          </w:pPr>
          <w:hyperlink w:anchor="_Toc193471043">
            <w:r>
              <w:rPr>
                <w:webHidden/>
                <w:rStyle w:val="IndexLink"/>
                <w:rFonts w:cs="Arial" w:ascii="Arial" w:hAnsi="Arial"/>
                <w:b/>
                <w:bCs/>
                <w:vanish w:val="false"/>
                <w:color w:val="000000"/>
              </w:rPr>
              <w:t>1.1</w:t>
            </w:r>
            <w:r>
              <w:rPr>
                <w:rStyle w:val="IndexLink"/>
                <w:rFonts w:eastAsia="" w:eastAsiaTheme="minorEastAsia"/>
                <w:color w:val="000000"/>
                <w:lang w:val="en-US"/>
              </w:rPr>
              <w:tab/>
            </w:r>
            <w:r>
              <w:rPr>
                <w:rStyle w:val="IndexLink"/>
                <w:rFonts w:cs="Arial" w:ascii="Arial" w:hAnsi="Arial"/>
                <w:b/>
                <w:bCs/>
                <w:color w:val="000000"/>
              </w:rPr>
              <w:t>Cadrul legal</w:t>
            </w:r>
            <w:r>
              <w:rPr>
                <w:webHidden/>
              </w:rPr>
              <w:fldChar w:fldCharType="begin"/>
            </w:r>
            <w:r>
              <w:rPr>
                <w:webHidden/>
              </w:rPr>
              <w:instrText>PAGEREF _Toc193471043 \h</w:instrText>
            </w:r>
            <w:r>
              <w:rPr>
                <w:webHidden/>
              </w:rPr>
              <w:fldChar w:fldCharType="separate"/>
            </w:r>
            <w:r>
              <w:rPr>
                <w:rStyle w:val="IndexLink"/>
                <w:vanish w:val="false"/>
                <w:color w:val="000000"/>
              </w:rPr>
              <w:tab/>
              <w:t>2</w:t>
            </w:r>
            <w:r>
              <w:rPr>
                <w:webHidden/>
              </w:rPr>
              <w:fldChar w:fldCharType="end"/>
            </w:r>
          </w:hyperlink>
        </w:p>
        <w:p>
          <w:pPr>
            <w:pStyle w:val="Contents2"/>
            <w:tabs>
              <w:tab w:val="clear" w:pos="708"/>
              <w:tab w:val="left" w:pos="880" w:leader="none"/>
              <w:tab w:val="right" w:pos="9440" w:leader="dot"/>
            </w:tabs>
            <w:rPr/>
          </w:pPr>
          <w:hyperlink w:anchor="_Toc193471044">
            <w:r>
              <w:rPr>
                <w:webHidden/>
                <w:rStyle w:val="IndexLink"/>
                <w:rFonts w:cs="Arial" w:ascii="Arial" w:hAnsi="Arial"/>
                <w:b/>
                <w:bCs/>
                <w:vanish w:val="false"/>
                <w:color w:val="000000"/>
              </w:rPr>
              <w:t>1.2</w:t>
            </w:r>
            <w:r>
              <w:rPr>
                <w:rStyle w:val="IndexLink"/>
                <w:rFonts w:eastAsia="" w:eastAsiaTheme="minorEastAsia"/>
                <w:color w:val="000000"/>
                <w:lang w:val="en-US"/>
              </w:rPr>
              <w:tab/>
            </w:r>
            <w:r>
              <w:rPr>
                <w:rStyle w:val="IndexLink"/>
                <w:rFonts w:cs="Arial" w:ascii="Arial" w:hAnsi="Arial"/>
                <w:b/>
                <w:bCs/>
                <w:color w:val="000000"/>
              </w:rPr>
              <w:t>Scop</w:t>
            </w:r>
            <w:r>
              <w:rPr>
                <w:webHidden/>
              </w:rPr>
              <w:fldChar w:fldCharType="begin"/>
            </w:r>
            <w:r>
              <w:rPr>
                <w:webHidden/>
              </w:rPr>
              <w:instrText>PAGEREF _Toc193471044 \h</w:instrText>
            </w:r>
            <w:r>
              <w:rPr>
                <w:webHidden/>
              </w:rPr>
              <w:fldChar w:fldCharType="separate"/>
            </w:r>
            <w:r>
              <w:rPr>
                <w:rStyle w:val="IndexLink"/>
                <w:vanish w:val="false"/>
                <w:color w:val="000000"/>
              </w:rPr>
              <w:tab/>
              <w:t>2</w:t>
            </w:r>
            <w:r>
              <w:rPr>
                <w:webHidden/>
              </w:rPr>
              <w:fldChar w:fldCharType="end"/>
            </w:r>
          </w:hyperlink>
        </w:p>
        <w:p>
          <w:pPr>
            <w:pStyle w:val="Contents1"/>
            <w:tabs>
              <w:tab w:val="clear" w:pos="708"/>
              <w:tab w:val="left" w:pos="660" w:leader="none"/>
              <w:tab w:val="right" w:pos="9440" w:leader="dot"/>
            </w:tabs>
            <w:rPr/>
          </w:pPr>
          <w:hyperlink w:anchor="_Toc193471045">
            <w:r>
              <w:rPr>
                <w:webHidden/>
                <w:rStyle w:val="IndexLink"/>
                <w:rFonts w:cs="Arial" w:ascii="Arial" w:hAnsi="Arial"/>
                <w:b/>
                <w:bCs/>
                <w:vanish w:val="false"/>
                <w:color w:val="000000"/>
              </w:rPr>
              <w:t>(2)</w:t>
            </w:r>
            <w:r>
              <w:rPr>
                <w:rStyle w:val="IndexLink"/>
                <w:rFonts w:eastAsia="" w:eastAsiaTheme="minorEastAsia"/>
                <w:color w:val="000000"/>
                <w:lang w:val="en-US"/>
              </w:rPr>
              <w:tab/>
            </w:r>
            <w:r>
              <w:rPr>
                <w:rStyle w:val="IndexLink"/>
                <w:rFonts w:cs="Arial" w:ascii="Arial" w:hAnsi="Arial"/>
                <w:b/>
                <w:bCs/>
                <w:color w:val="000000"/>
              </w:rPr>
              <w:t>Prezentare generală a Întreprinderii Publice</w:t>
            </w:r>
            <w:r>
              <w:rPr>
                <w:webHidden/>
              </w:rPr>
              <w:fldChar w:fldCharType="begin"/>
            </w:r>
            <w:r>
              <w:rPr>
                <w:webHidden/>
              </w:rPr>
              <w:instrText>PAGEREF _Toc193471045 \h</w:instrText>
            </w:r>
            <w:r>
              <w:rPr>
                <w:webHidden/>
              </w:rPr>
              <w:fldChar w:fldCharType="separate"/>
            </w:r>
            <w:r>
              <w:rPr>
                <w:rStyle w:val="IndexLink"/>
                <w:vanish w:val="false"/>
                <w:color w:val="000000"/>
              </w:rPr>
              <w:tab/>
              <w:t>3</w:t>
            </w:r>
            <w:r>
              <w:rPr>
                <w:webHidden/>
              </w:rPr>
              <w:fldChar w:fldCharType="end"/>
            </w:r>
          </w:hyperlink>
        </w:p>
        <w:p>
          <w:pPr>
            <w:pStyle w:val="Contents2"/>
            <w:tabs>
              <w:tab w:val="clear" w:pos="708"/>
              <w:tab w:val="left" w:pos="880" w:leader="none"/>
              <w:tab w:val="right" w:pos="9440" w:leader="dot"/>
            </w:tabs>
            <w:rPr/>
          </w:pPr>
          <w:hyperlink w:anchor="_Toc193471046">
            <w:r>
              <w:rPr>
                <w:webHidden/>
                <w:rStyle w:val="IndexLink"/>
                <w:rFonts w:cs="Arial" w:ascii="Arial" w:hAnsi="Arial"/>
                <w:b/>
                <w:bCs/>
                <w:vanish w:val="false"/>
                <w:color w:val="000000"/>
              </w:rPr>
              <w:t>2.1</w:t>
            </w:r>
            <w:r>
              <w:rPr>
                <w:rStyle w:val="IndexLink"/>
                <w:rFonts w:eastAsia="" w:eastAsiaTheme="minorEastAsia"/>
                <w:color w:val="000000"/>
                <w:lang w:val="en-US"/>
              </w:rPr>
              <w:tab/>
            </w:r>
            <w:r>
              <w:rPr>
                <w:rStyle w:val="IndexLink"/>
                <w:rFonts w:cs="Arial" w:ascii="Arial" w:hAnsi="Arial"/>
                <w:b/>
                <w:bCs/>
                <w:color w:val="000000"/>
              </w:rPr>
              <w:t>Prezentare instituție, scurt istoric</w:t>
            </w:r>
            <w:r>
              <w:rPr>
                <w:webHidden/>
              </w:rPr>
              <w:fldChar w:fldCharType="begin"/>
            </w:r>
            <w:r>
              <w:rPr>
                <w:webHidden/>
              </w:rPr>
              <w:instrText>PAGEREF _Toc193471046 \h</w:instrText>
            </w:r>
            <w:r>
              <w:rPr>
                <w:webHidden/>
              </w:rPr>
              <w:fldChar w:fldCharType="separate"/>
            </w:r>
            <w:r>
              <w:rPr>
                <w:rStyle w:val="IndexLink"/>
                <w:vanish w:val="false"/>
                <w:color w:val="000000"/>
              </w:rPr>
              <w:tab/>
              <w:t>3</w:t>
            </w:r>
            <w:r>
              <w:rPr>
                <w:webHidden/>
              </w:rPr>
              <w:fldChar w:fldCharType="end"/>
            </w:r>
          </w:hyperlink>
        </w:p>
        <w:p>
          <w:pPr>
            <w:pStyle w:val="Contents2"/>
            <w:tabs>
              <w:tab w:val="clear" w:pos="708"/>
              <w:tab w:val="left" w:pos="880" w:leader="none"/>
              <w:tab w:val="right" w:pos="9440" w:leader="dot"/>
            </w:tabs>
            <w:rPr/>
          </w:pPr>
          <w:hyperlink w:anchor="_Toc193471047">
            <w:r>
              <w:rPr>
                <w:webHidden/>
                <w:rStyle w:val="IndexLink"/>
                <w:rFonts w:cs="Arial" w:ascii="Arial" w:hAnsi="Arial"/>
                <w:b/>
                <w:bCs/>
                <w:vanish w:val="false"/>
                <w:color w:val="000000"/>
              </w:rPr>
              <w:t>2.2</w:t>
            </w:r>
            <w:r>
              <w:rPr>
                <w:rStyle w:val="IndexLink"/>
                <w:rFonts w:eastAsia="" w:eastAsiaTheme="minorEastAsia"/>
                <w:color w:val="000000"/>
                <w:lang w:val="en-US"/>
              </w:rPr>
              <w:tab/>
            </w:r>
            <w:r>
              <w:rPr>
                <w:rStyle w:val="IndexLink"/>
                <w:rFonts w:cs="Arial" w:ascii="Arial" w:hAnsi="Arial"/>
                <w:b/>
                <w:bCs/>
                <w:color w:val="000000"/>
              </w:rPr>
              <w:t>Forma juridică de organizare a întreprinderii publice, cu încadrarea întreprinderii publice în una dintre categoriile: comercial, de monopol reglementat sau serviciu public (la un cost acceptabil)</w:t>
            </w:r>
            <w:r>
              <w:rPr>
                <w:webHidden/>
              </w:rPr>
              <w:fldChar w:fldCharType="begin"/>
            </w:r>
            <w:r>
              <w:rPr>
                <w:webHidden/>
              </w:rPr>
              <w:instrText>PAGEREF _Toc193471047 \h</w:instrText>
            </w:r>
            <w:r>
              <w:rPr>
                <w:webHidden/>
              </w:rPr>
              <w:fldChar w:fldCharType="separate"/>
            </w:r>
            <w:r>
              <w:rPr>
                <w:rStyle w:val="IndexLink"/>
                <w:vanish w:val="false"/>
                <w:color w:val="000000"/>
              </w:rPr>
              <w:tab/>
              <w:t>4</w:t>
            </w:r>
            <w:r>
              <w:rPr>
                <w:webHidden/>
              </w:rPr>
              <w:fldChar w:fldCharType="end"/>
            </w:r>
          </w:hyperlink>
        </w:p>
        <w:p>
          <w:pPr>
            <w:pStyle w:val="Contents2"/>
            <w:tabs>
              <w:tab w:val="clear" w:pos="708"/>
              <w:tab w:val="left" w:pos="880" w:leader="none"/>
              <w:tab w:val="right" w:pos="9440" w:leader="dot"/>
            </w:tabs>
            <w:rPr/>
          </w:pPr>
          <w:hyperlink w:anchor="_Toc193471048">
            <w:r>
              <w:rPr>
                <w:webHidden/>
                <w:rStyle w:val="IndexLink"/>
                <w:rFonts w:cs="Arial" w:ascii="Arial" w:hAnsi="Arial"/>
                <w:b/>
                <w:bCs/>
                <w:vanish w:val="false"/>
                <w:color w:val="000000"/>
              </w:rPr>
              <w:t>2.3</w:t>
            </w:r>
            <w:r>
              <w:rPr>
                <w:rStyle w:val="IndexLink"/>
                <w:rFonts w:eastAsia="" w:eastAsiaTheme="minorEastAsia"/>
                <w:color w:val="000000"/>
                <w:lang w:val="en-US"/>
              </w:rPr>
              <w:tab/>
            </w:r>
            <w:r>
              <w:rPr>
                <w:rStyle w:val="IndexLink"/>
                <w:rFonts w:cs="Arial" w:ascii="Arial" w:hAnsi="Arial"/>
                <w:b/>
                <w:bCs/>
                <w:color w:val="000000"/>
              </w:rPr>
              <w:t>Structura acţionariatului</w:t>
            </w:r>
            <w:r>
              <w:rPr>
                <w:webHidden/>
              </w:rPr>
              <w:fldChar w:fldCharType="begin"/>
            </w:r>
            <w:r>
              <w:rPr>
                <w:webHidden/>
              </w:rPr>
              <w:instrText>PAGEREF _Toc193471048 \h</w:instrText>
            </w:r>
            <w:r>
              <w:rPr>
                <w:webHidden/>
              </w:rPr>
              <w:fldChar w:fldCharType="separate"/>
            </w:r>
            <w:r>
              <w:rPr>
                <w:rStyle w:val="IndexLink"/>
                <w:vanish w:val="false"/>
                <w:color w:val="000000"/>
              </w:rPr>
              <w:tab/>
              <w:t>6</w:t>
            </w:r>
            <w:r>
              <w:rPr>
                <w:webHidden/>
              </w:rPr>
              <w:fldChar w:fldCharType="end"/>
            </w:r>
          </w:hyperlink>
        </w:p>
        <w:p>
          <w:pPr>
            <w:pStyle w:val="Contents2"/>
            <w:tabs>
              <w:tab w:val="clear" w:pos="708"/>
              <w:tab w:val="left" w:pos="880" w:leader="none"/>
              <w:tab w:val="right" w:pos="9440" w:leader="dot"/>
            </w:tabs>
            <w:rPr/>
          </w:pPr>
          <w:hyperlink w:anchor="_Toc193471049">
            <w:r>
              <w:rPr>
                <w:webHidden/>
                <w:rStyle w:val="IndexLink"/>
                <w:rFonts w:cs="Arial" w:ascii="Arial" w:hAnsi="Arial"/>
                <w:b/>
                <w:bCs/>
                <w:vanish w:val="false"/>
                <w:color w:val="000000"/>
              </w:rPr>
              <w:t>2.4</w:t>
            </w:r>
            <w:r>
              <w:rPr>
                <w:rStyle w:val="IndexLink"/>
                <w:rFonts w:eastAsia="" w:eastAsiaTheme="minorEastAsia"/>
                <w:color w:val="000000"/>
                <w:lang w:val="en-US"/>
              </w:rPr>
              <w:tab/>
            </w:r>
            <w:r>
              <w:rPr>
                <w:rStyle w:val="IndexLink"/>
                <w:rFonts w:cs="Arial" w:ascii="Arial" w:hAnsi="Arial"/>
                <w:b/>
                <w:bCs/>
                <w:color w:val="000000"/>
              </w:rPr>
              <w:t>Sectorul şi subsectorul economic în care îşi desfăşoară activitatea întreprinderea publică</w:t>
            </w:r>
            <w:r>
              <w:rPr>
                <w:webHidden/>
              </w:rPr>
              <w:fldChar w:fldCharType="begin"/>
            </w:r>
            <w:r>
              <w:rPr>
                <w:webHidden/>
              </w:rPr>
              <w:instrText>PAGEREF _Toc193471049 \h</w:instrText>
            </w:r>
            <w:r>
              <w:rPr>
                <w:webHidden/>
              </w:rPr>
              <w:fldChar w:fldCharType="separate"/>
            </w:r>
            <w:r>
              <w:rPr>
                <w:rStyle w:val="IndexLink"/>
                <w:vanish w:val="false"/>
                <w:color w:val="000000"/>
              </w:rPr>
              <w:tab/>
              <w:t>6</w:t>
            </w:r>
            <w:r>
              <w:rPr>
                <w:webHidden/>
              </w:rPr>
              <w:fldChar w:fldCharType="end"/>
            </w:r>
          </w:hyperlink>
        </w:p>
        <w:p>
          <w:pPr>
            <w:pStyle w:val="Contents2"/>
            <w:tabs>
              <w:tab w:val="clear" w:pos="708"/>
              <w:tab w:val="left" w:pos="880" w:leader="none"/>
              <w:tab w:val="right" w:pos="9440" w:leader="dot"/>
            </w:tabs>
            <w:rPr/>
          </w:pPr>
          <w:hyperlink w:anchor="_Toc193471050">
            <w:r>
              <w:rPr>
                <w:webHidden/>
                <w:rStyle w:val="IndexLink"/>
                <w:rFonts w:cs="Arial" w:ascii="Arial" w:hAnsi="Arial"/>
                <w:b/>
                <w:bCs/>
                <w:vanish w:val="false"/>
                <w:color w:val="000000"/>
              </w:rPr>
              <w:t>2.5</w:t>
            </w:r>
            <w:r>
              <w:rPr>
                <w:rStyle w:val="IndexLink"/>
                <w:rFonts w:eastAsia="" w:eastAsiaTheme="minorEastAsia"/>
                <w:color w:val="000000"/>
                <w:lang w:val="en-US"/>
              </w:rPr>
              <w:tab/>
            </w:r>
            <w:r>
              <w:rPr>
                <w:rStyle w:val="IndexLink"/>
                <w:rFonts w:cs="Arial" w:ascii="Arial" w:hAnsi="Arial"/>
                <w:b/>
                <w:bCs/>
                <w:color w:val="000000"/>
              </w:rPr>
              <w:t>Legislație aplicabilă domeniului de activitate al întreprinderii publice, inclusiv legislația în domeniul guvernanței corporative</w:t>
            </w:r>
            <w:r>
              <w:rPr>
                <w:webHidden/>
              </w:rPr>
              <w:fldChar w:fldCharType="begin"/>
            </w:r>
            <w:r>
              <w:rPr>
                <w:webHidden/>
              </w:rPr>
              <w:instrText>PAGEREF _Toc193471050 \h</w:instrText>
            </w:r>
            <w:r>
              <w:rPr>
                <w:webHidden/>
              </w:rPr>
              <w:fldChar w:fldCharType="separate"/>
            </w:r>
            <w:r>
              <w:rPr>
                <w:rStyle w:val="IndexLink"/>
                <w:vanish w:val="false"/>
                <w:color w:val="000000"/>
              </w:rPr>
              <w:tab/>
              <w:t>6</w:t>
            </w:r>
            <w:r>
              <w:rPr>
                <w:webHidden/>
              </w:rPr>
              <w:fldChar w:fldCharType="end"/>
            </w:r>
          </w:hyperlink>
        </w:p>
        <w:p>
          <w:pPr>
            <w:pStyle w:val="Contents1"/>
            <w:tabs>
              <w:tab w:val="clear" w:pos="708"/>
              <w:tab w:val="left" w:pos="660" w:leader="none"/>
              <w:tab w:val="right" w:pos="9440" w:leader="dot"/>
            </w:tabs>
            <w:rPr/>
          </w:pPr>
          <w:hyperlink w:anchor="_Toc193471051">
            <w:r>
              <w:rPr>
                <w:webHidden/>
                <w:rStyle w:val="IndexLink"/>
                <w:rFonts w:cs="Arial" w:ascii="Arial" w:hAnsi="Arial"/>
                <w:b/>
                <w:bCs/>
                <w:vanish w:val="false"/>
                <w:color w:val="000000"/>
              </w:rPr>
              <w:t>(3)</w:t>
            </w:r>
            <w:r>
              <w:rPr>
                <w:rStyle w:val="IndexLink"/>
                <w:rFonts w:eastAsia="" w:eastAsiaTheme="minorEastAsia"/>
                <w:color w:val="000000"/>
                <w:lang w:val="en-US"/>
              </w:rPr>
              <w:tab/>
            </w:r>
            <w:r>
              <w:rPr>
                <w:rStyle w:val="IndexLink"/>
                <w:rFonts w:cs="Arial" w:ascii="Arial" w:hAnsi="Arial"/>
                <w:b/>
                <w:bCs/>
                <w:color w:val="000000"/>
              </w:rPr>
              <w:t>Cadrul strategic</w:t>
            </w:r>
            <w:r>
              <w:rPr>
                <w:webHidden/>
              </w:rPr>
              <w:fldChar w:fldCharType="begin"/>
            </w:r>
            <w:r>
              <w:rPr>
                <w:webHidden/>
              </w:rPr>
              <w:instrText>PAGEREF _Toc193471051 \h</w:instrText>
            </w:r>
            <w:r>
              <w:rPr>
                <w:webHidden/>
              </w:rPr>
              <w:fldChar w:fldCharType="separate"/>
            </w:r>
            <w:r>
              <w:rPr>
                <w:rStyle w:val="IndexLink"/>
                <w:vanish w:val="false"/>
                <w:color w:val="000000"/>
              </w:rPr>
              <w:tab/>
              <w:t>8</w:t>
            </w:r>
            <w:r>
              <w:rPr>
                <w:webHidden/>
              </w:rPr>
              <w:fldChar w:fldCharType="end"/>
            </w:r>
          </w:hyperlink>
        </w:p>
        <w:p>
          <w:pPr>
            <w:pStyle w:val="Contents2"/>
            <w:tabs>
              <w:tab w:val="clear" w:pos="708"/>
              <w:tab w:val="left" w:pos="880" w:leader="none"/>
              <w:tab w:val="right" w:pos="9440" w:leader="dot"/>
            </w:tabs>
            <w:rPr/>
          </w:pPr>
          <w:hyperlink w:anchor="_Toc193471052">
            <w:r>
              <w:rPr>
                <w:webHidden/>
                <w:rStyle w:val="IndexLink"/>
                <w:rFonts w:cs="Arial" w:ascii="Arial" w:hAnsi="Arial"/>
                <w:b/>
                <w:bCs/>
                <w:vanish w:val="false"/>
                <w:color w:val="000000"/>
              </w:rPr>
              <w:t>3.1</w:t>
            </w:r>
            <w:r>
              <w:rPr>
                <w:rStyle w:val="IndexLink"/>
                <w:rFonts w:eastAsia="" w:eastAsiaTheme="minorEastAsia"/>
                <w:color w:val="000000"/>
                <w:lang w:val="en-US"/>
              </w:rPr>
              <w:tab/>
            </w:r>
            <w:r>
              <w:rPr>
                <w:rStyle w:val="IndexLink"/>
                <w:rFonts w:cs="Arial" w:ascii="Arial" w:hAnsi="Arial"/>
                <w:b/>
                <w:bCs/>
                <w:color w:val="000000"/>
              </w:rPr>
              <w:t>Sinteza strategiilor/obiectivelor europene (inclusiv cele care decurg din PNRR), în domeniul în care acționează întreprinderea publică</w:t>
            </w:r>
            <w:r>
              <w:rPr>
                <w:webHidden/>
              </w:rPr>
              <w:fldChar w:fldCharType="begin"/>
            </w:r>
            <w:r>
              <w:rPr>
                <w:webHidden/>
              </w:rPr>
              <w:instrText>PAGEREF _Toc193471052 \h</w:instrText>
            </w:r>
            <w:r>
              <w:rPr>
                <w:webHidden/>
              </w:rPr>
              <w:fldChar w:fldCharType="separate"/>
            </w:r>
            <w:r>
              <w:rPr>
                <w:rStyle w:val="IndexLink"/>
                <w:vanish w:val="false"/>
                <w:color w:val="000000"/>
              </w:rPr>
              <w:tab/>
              <w:t>8</w:t>
            </w:r>
            <w:r>
              <w:rPr>
                <w:webHidden/>
              </w:rPr>
              <w:fldChar w:fldCharType="end"/>
            </w:r>
          </w:hyperlink>
        </w:p>
        <w:p>
          <w:pPr>
            <w:pStyle w:val="Contents1"/>
            <w:tabs>
              <w:tab w:val="clear" w:pos="708"/>
              <w:tab w:val="left" w:pos="660" w:leader="none"/>
              <w:tab w:val="right" w:pos="9440" w:leader="dot"/>
            </w:tabs>
            <w:rPr/>
          </w:pPr>
          <w:hyperlink w:anchor="_Toc193471053">
            <w:r>
              <w:rPr>
                <w:webHidden/>
                <w:rStyle w:val="IndexLink"/>
                <w:rFonts w:cs="Arial" w:ascii="Arial" w:hAnsi="Arial"/>
                <w:b/>
                <w:bCs/>
                <w:vanish w:val="false"/>
                <w:color w:val="000000"/>
              </w:rPr>
              <w:t>(4)</w:t>
            </w:r>
            <w:r>
              <w:rPr>
                <w:rStyle w:val="IndexLink"/>
                <w:rFonts w:eastAsia="" w:eastAsiaTheme="minorEastAsia"/>
                <w:color w:val="000000"/>
                <w:lang w:val="en-US"/>
              </w:rPr>
              <w:tab/>
            </w:r>
            <w:r>
              <w:rPr>
                <w:rStyle w:val="IndexLink"/>
                <w:rFonts w:cs="Arial" w:ascii="Arial" w:hAnsi="Arial"/>
                <w:b/>
                <w:bCs/>
                <w:color w:val="000000"/>
              </w:rPr>
              <w:t>Cerințe contextuale</w:t>
            </w:r>
            <w:r>
              <w:rPr>
                <w:webHidden/>
              </w:rPr>
              <w:fldChar w:fldCharType="begin"/>
            </w:r>
            <w:r>
              <w:rPr>
                <w:webHidden/>
              </w:rPr>
              <w:instrText>PAGEREF _Toc193471053 \h</w:instrText>
            </w:r>
            <w:r>
              <w:rPr>
                <w:webHidden/>
              </w:rPr>
              <w:fldChar w:fldCharType="separate"/>
            </w:r>
            <w:r>
              <w:rPr>
                <w:rStyle w:val="IndexLink"/>
                <w:vanish w:val="false"/>
                <w:color w:val="000000"/>
              </w:rPr>
              <w:tab/>
              <w:t>11</w:t>
            </w:r>
            <w:r>
              <w:rPr>
                <w:webHidden/>
              </w:rPr>
              <w:fldChar w:fldCharType="end"/>
            </w:r>
          </w:hyperlink>
        </w:p>
        <w:p>
          <w:pPr>
            <w:pStyle w:val="Contents2"/>
            <w:tabs>
              <w:tab w:val="clear" w:pos="708"/>
              <w:tab w:val="right" w:pos="9440" w:leader="dot"/>
            </w:tabs>
            <w:rPr/>
          </w:pPr>
          <w:hyperlink w:anchor="_Toc193471054">
            <w:r>
              <w:rPr>
                <w:webHidden/>
                <w:rStyle w:val="IndexLink"/>
                <w:rFonts w:cs="Arial" w:ascii="Arial" w:hAnsi="Arial"/>
                <w:b/>
                <w:bCs/>
                <w:vanish w:val="false"/>
                <w:color w:val="000000"/>
              </w:rPr>
              <w:t>4.1 Starea economică/financiară a companiei</w:t>
            </w:r>
            <w:r>
              <w:rPr>
                <w:webHidden/>
              </w:rPr>
              <w:fldChar w:fldCharType="begin"/>
            </w:r>
            <w:r>
              <w:rPr>
                <w:webHidden/>
              </w:rPr>
              <w:instrText>PAGEREF _Toc193471054 \h</w:instrText>
            </w:r>
            <w:r>
              <w:rPr>
                <w:webHidden/>
              </w:rPr>
              <w:fldChar w:fldCharType="separate"/>
            </w:r>
            <w:r>
              <w:rPr>
                <w:rStyle w:val="IndexLink"/>
                <w:vanish w:val="false"/>
                <w:color w:val="000000"/>
              </w:rPr>
              <w:tab/>
              <w:t>11</w:t>
            </w:r>
            <w:r>
              <w:rPr>
                <w:webHidden/>
              </w:rPr>
              <w:fldChar w:fldCharType="end"/>
            </w:r>
          </w:hyperlink>
        </w:p>
        <w:p>
          <w:pPr>
            <w:pStyle w:val="Contents2"/>
            <w:tabs>
              <w:tab w:val="clear" w:pos="708"/>
              <w:tab w:val="right" w:pos="9440" w:leader="dot"/>
            </w:tabs>
            <w:rPr/>
          </w:pPr>
          <w:hyperlink w:anchor="_Toc193471055">
            <w:r>
              <w:rPr>
                <w:webHidden/>
                <w:rStyle w:val="IndexLink"/>
                <w:rFonts w:cs="Arial" w:ascii="Arial" w:hAnsi="Arial"/>
                <w:b/>
                <w:bCs/>
                <w:vanish w:val="false"/>
                <w:color w:val="000000"/>
              </w:rPr>
              <w:t>4.2 Guvernanța corporativă a companiei</w:t>
            </w:r>
            <w:r>
              <w:rPr>
                <w:webHidden/>
              </w:rPr>
              <w:fldChar w:fldCharType="begin"/>
            </w:r>
            <w:r>
              <w:rPr>
                <w:webHidden/>
              </w:rPr>
              <w:instrText>PAGEREF _Toc193471055 \h</w:instrText>
            </w:r>
            <w:r>
              <w:rPr>
                <w:webHidden/>
              </w:rPr>
              <w:fldChar w:fldCharType="separate"/>
            </w:r>
            <w:r>
              <w:rPr>
                <w:rStyle w:val="IndexLink"/>
                <w:vanish w:val="false"/>
                <w:color w:val="000000"/>
              </w:rPr>
              <w:tab/>
              <w:t>14</w:t>
            </w:r>
            <w:r>
              <w:rPr>
                <w:webHidden/>
              </w:rPr>
              <w:fldChar w:fldCharType="end"/>
            </w:r>
          </w:hyperlink>
        </w:p>
        <w:p>
          <w:pPr>
            <w:pStyle w:val="Contents2"/>
            <w:tabs>
              <w:tab w:val="clear" w:pos="708"/>
              <w:tab w:val="right" w:pos="9440" w:leader="dot"/>
            </w:tabs>
            <w:rPr/>
          </w:pPr>
          <w:hyperlink w:anchor="_Toc193471056">
            <w:r>
              <w:rPr>
                <w:webHidden/>
                <w:rStyle w:val="IndexLink"/>
                <w:rFonts w:cs="Arial" w:ascii="Arial" w:hAnsi="Arial"/>
                <w:b/>
                <w:bCs/>
                <w:vanish w:val="false"/>
                <w:color w:val="000000"/>
              </w:rPr>
              <w:t>4.2.1 Adunarea Generală a Acționarilor</w:t>
            </w:r>
            <w:r>
              <w:rPr>
                <w:webHidden/>
              </w:rPr>
              <w:fldChar w:fldCharType="begin"/>
            </w:r>
            <w:r>
              <w:rPr>
                <w:webHidden/>
              </w:rPr>
              <w:instrText>PAGEREF _Toc193471056 \h</w:instrText>
            </w:r>
            <w:r>
              <w:rPr>
                <w:webHidden/>
              </w:rPr>
              <w:fldChar w:fldCharType="separate"/>
            </w:r>
            <w:r>
              <w:rPr>
                <w:rStyle w:val="IndexLink"/>
                <w:vanish w:val="false"/>
                <w:color w:val="000000"/>
              </w:rPr>
              <w:tab/>
              <w:t>14</w:t>
            </w:r>
            <w:r>
              <w:rPr>
                <w:webHidden/>
              </w:rPr>
              <w:fldChar w:fldCharType="end"/>
            </w:r>
          </w:hyperlink>
        </w:p>
        <w:p>
          <w:pPr>
            <w:pStyle w:val="Contents2"/>
            <w:tabs>
              <w:tab w:val="clear" w:pos="708"/>
              <w:tab w:val="right" w:pos="9440" w:leader="dot"/>
            </w:tabs>
            <w:rPr/>
          </w:pPr>
          <w:hyperlink w:anchor="_Toc193471057">
            <w:r>
              <w:rPr>
                <w:webHidden/>
                <w:rStyle w:val="IndexLink"/>
                <w:rFonts w:cs="Arial" w:ascii="Arial" w:hAnsi="Arial"/>
                <w:b/>
                <w:bCs/>
                <w:vanish w:val="false"/>
                <w:color w:val="000000"/>
              </w:rPr>
              <w:t>4.2.2 Consiliul de Administrație</w:t>
            </w:r>
            <w:r>
              <w:rPr>
                <w:webHidden/>
              </w:rPr>
              <w:fldChar w:fldCharType="begin"/>
            </w:r>
            <w:r>
              <w:rPr>
                <w:webHidden/>
              </w:rPr>
              <w:instrText>PAGEREF _Toc193471057 \h</w:instrText>
            </w:r>
            <w:r>
              <w:rPr>
                <w:webHidden/>
              </w:rPr>
              <w:fldChar w:fldCharType="separate"/>
            </w:r>
            <w:r>
              <w:rPr>
                <w:rStyle w:val="IndexLink"/>
                <w:vanish w:val="false"/>
                <w:color w:val="000000"/>
              </w:rPr>
              <w:tab/>
              <w:t>15</w:t>
            </w:r>
            <w:r>
              <w:rPr>
                <w:webHidden/>
              </w:rPr>
              <w:fldChar w:fldCharType="end"/>
            </w:r>
          </w:hyperlink>
        </w:p>
        <w:p>
          <w:pPr>
            <w:pStyle w:val="Contents2"/>
            <w:tabs>
              <w:tab w:val="clear" w:pos="708"/>
              <w:tab w:val="right" w:pos="9440" w:leader="dot"/>
            </w:tabs>
            <w:rPr/>
          </w:pPr>
          <w:hyperlink w:anchor="_Toc193471058">
            <w:r>
              <w:rPr>
                <w:webHidden/>
                <w:rStyle w:val="IndexLink"/>
                <w:rFonts w:cs="Arial" w:ascii="Arial" w:hAnsi="Arial"/>
                <w:b/>
                <w:bCs/>
                <w:vanish w:val="false"/>
                <w:color w:val="000000"/>
              </w:rPr>
              <w:t>4.2.3 Conducerea societății</w:t>
            </w:r>
            <w:r>
              <w:rPr>
                <w:webHidden/>
              </w:rPr>
              <w:fldChar w:fldCharType="begin"/>
            </w:r>
            <w:r>
              <w:rPr>
                <w:webHidden/>
              </w:rPr>
              <w:instrText>PAGEREF _Toc193471058 \h</w:instrText>
            </w:r>
            <w:r>
              <w:rPr>
                <w:webHidden/>
              </w:rPr>
              <w:fldChar w:fldCharType="separate"/>
            </w:r>
            <w:r>
              <w:rPr>
                <w:rStyle w:val="IndexLink"/>
                <w:vanish w:val="false"/>
                <w:color w:val="000000"/>
              </w:rPr>
              <w:tab/>
              <w:t>15</w:t>
            </w:r>
            <w:r>
              <w:rPr>
                <w:webHidden/>
              </w:rPr>
              <w:fldChar w:fldCharType="end"/>
            </w:r>
          </w:hyperlink>
        </w:p>
        <w:p>
          <w:pPr>
            <w:pStyle w:val="Contents2"/>
            <w:tabs>
              <w:tab w:val="clear" w:pos="708"/>
              <w:tab w:val="right" w:pos="9440" w:leader="dot"/>
            </w:tabs>
            <w:rPr/>
          </w:pPr>
          <w:hyperlink w:anchor="_Toc193471059">
            <w:r>
              <w:rPr>
                <w:webHidden/>
                <w:rStyle w:val="IndexLink"/>
                <w:rFonts w:cs="Arial" w:ascii="Arial" w:hAnsi="Arial"/>
                <w:b/>
                <w:bCs/>
                <w:vanish w:val="false"/>
                <w:color w:val="000000"/>
              </w:rPr>
              <w:t>4.3  Activitatea întreprinderii</w:t>
            </w:r>
            <w:r>
              <w:rPr>
                <w:webHidden/>
              </w:rPr>
              <w:fldChar w:fldCharType="begin"/>
            </w:r>
            <w:r>
              <w:rPr>
                <w:webHidden/>
              </w:rPr>
              <w:instrText>PAGEREF _Toc193471059 \h</w:instrText>
            </w:r>
            <w:r>
              <w:rPr>
                <w:webHidden/>
              </w:rPr>
              <w:fldChar w:fldCharType="separate"/>
            </w:r>
            <w:r>
              <w:rPr>
                <w:rStyle w:val="IndexLink"/>
                <w:vanish w:val="false"/>
                <w:color w:val="000000"/>
              </w:rPr>
              <w:tab/>
              <w:t>15</w:t>
            </w:r>
            <w:r>
              <w:rPr>
                <w:webHidden/>
              </w:rPr>
              <w:fldChar w:fldCharType="end"/>
            </w:r>
          </w:hyperlink>
        </w:p>
        <w:p>
          <w:pPr>
            <w:pStyle w:val="Contents2"/>
            <w:tabs>
              <w:tab w:val="clear" w:pos="708"/>
              <w:tab w:val="right" w:pos="9440" w:leader="dot"/>
            </w:tabs>
            <w:rPr/>
          </w:pPr>
          <w:hyperlink w:anchor="_Toc193471060">
            <w:r>
              <w:rPr>
                <w:webHidden/>
                <w:rStyle w:val="IndexLink"/>
                <w:rFonts w:cs="Arial" w:ascii="Arial" w:hAnsi="Arial"/>
                <w:b/>
                <w:bCs/>
                <w:vanish w:val="false"/>
                <w:color w:val="000000"/>
              </w:rPr>
              <w:t>4.3.1 Rezultate și indicatori tehnici de producție</w:t>
            </w:r>
            <w:r>
              <w:rPr>
                <w:webHidden/>
              </w:rPr>
              <w:fldChar w:fldCharType="begin"/>
            </w:r>
            <w:r>
              <w:rPr>
                <w:webHidden/>
              </w:rPr>
              <w:instrText>PAGEREF _Toc193471060 \h</w:instrText>
            </w:r>
            <w:r>
              <w:rPr>
                <w:webHidden/>
              </w:rPr>
              <w:fldChar w:fldCharType="separate"/>
            </w:r>
            <w:r>
              <w:rPr>
                <w:rStyle w:val="IndexLink"/>
                <w:vanish w:val="false"/>
                <w:color w:val="000000"/>
              </w:rPr>
              <w:tab/>
              <w:t>15</w:t>
            </w:r>
            <w:r>
              <w:rPr>
                <w:webHidden/>
              </w:rPr>
              <w:fldChar w:fldCharType="end"/>
            </w:r>
          </w:hyperlink>
        </w:p>
        <w:p>
          <w:pPr>
            <w:pStyle w:val="Contents2"/>
            <w:tabs>
              <w:tab w:val="clear" w:pos="708"/>
              <w:tab w:val="right" w:pos="9440" w:leader="dot"/>
            </w:tabs>
            <w:rPr/>
          </w:pPr>
          <w:hyperlink w:anchor="_Toc193471061">
            <w:r>
              <w:rPr>
                <w:webHidden/>
                <w:rStyle w:val="IndexLink"/>
                <w:rFonts w:cs="Arial" w:ascii="Arial" w:hAnsi="Arial"/>
                <w:b/>
                <w:bCs/>
                <w:vanish w:val="false"/>
                <w:color w:val="000000"/>
              </w:rPr>
              <w:t>4.3.2 Activitatea comercială</w:t>
            </w:r>
            <w:r>
              <w:rPr>
                <w:webHidden/>
              </w:rPr>
              <w:fldChar w:fldCharType="begin"/>
            </w:r>
            <w:r>
              <w:rPr>
                <w:webHidden/>
              </w:rPr>
              <w:instrText>PAGEREF _Toc193471061 \h</w:instrText>
            </w:r>
            <w:r>
              <w:rPr>
                <w:webHidden/>
              </w:rPr>
              <w:fldChar w:fldCharType="separate"/>
            </w:r>
            <w:r>
              <w:rPr>
                <w:rStyle w:val="IndexLink"/>
                <w:vanish w:val="false"/>
                <w:color w:val="000000"/>
              </w:rPr>
              <w:tab/>
              <w:t>16</w:t>
            </w:r>
            <w:r>
              <w:rPr>
                <w:webHidden/>
              </w:rPr>
              <w:fldChar w:fldCharType="end"/>
            </w:r>
          </w:hyperlink>
        </w:p>
        <w:p>
          <w:pPr>
            <w:pStyle w:val="Contents2"/>
            <w:tabs>
              <w:tab w:val="clear" w:pos="708"/>
              <w:tab w:val="right" w:pos="9440" w:leader="dot"/>
            </w:tabs>
            <w:rPr/>
          </w:pPr>
          <w:hyperlink w:anchor="_Toc193471062">
            <w:r>
              <w:rPr>
                <w:webHidden/>
                <w:rStyle w:val="IndexLink"/>
                <w:rFonts w:cs="Arial" w:ascii="Arial" w:hAnsi="Arial"/>
                <w:b/>
                <w:bCs/>
                <w:vanish w:val="false"/>
                <w:color w:val="000000"/>
              </w:rPr>
              <w:t>4.3.3 Activitatea de achiziții</w:t>
            </w:r>
            <w:r>
              <w:rPr>
                <w:webHidden/>
              </w:rPr>
              <w:fldChar w:fldCharType="begin"/>
            </w:r>
            <w:r>
              <w:rPr>
                <w:webHidden/>
              </w:rPr>
              <w:instrText>PAGEREF _Toc193471062 \h</w:instrText>
            </w:r>
            <w:r>
              <w:rPr>
                <w:webHidden/>
              </w:rPr>
              <w:fldChar w:fldCharType="separate"/>
            </w:r>
            <w:r>
              <w:rPr>
                <w:rStyle w:val="IndexLink"/>
                <w:vanish w:val="false"/>
                <w:color w:val="000000"/>
              </w:rPr>
              <w:tab/>
              <w:t>17</w:t>
            </w:r>
            <w:r>
              <w:rPr>
                <w:webHidden/>
              </w:rPr>
              <w:fldChar w:fldCharType="end"/>
            </w:r>
          </w:hyperlink>
        </w:p>
        <w:p>
          <w:pPr>
            <w:pStyle w:val="Contents2"/>
            <w:tabs>
              <w:tab w:val="clear" w:pos="708"/>
              <w:tab w:val="right" w:pos="9440" w:leader="dot"/>
            </w:tabs>
            <w:rPr/>
          </w:pPr>
          <w:hyperlink w:anchor="_Toc193471063">
            <w:r>
              <w:rPr>
                <w:webHidden/>
                <w:rStyle w:val="IndexLink"/>
                <w:rFonts w:cs="Arial" w:ascii="Arial" w:hAnsi="Arial"/>
                <w:b/>
                <w:bCs/>
                <w:vanish w:val="false"/>
                <w:color w:val="000000"/>
              </w:rPr>
              <w:t>4.3.4 Aspecte legate de resursele umane</w:t>
            </w:r>
            <w:r>
              <w:rPr>
                <w:webHidden/>
              </w:rPr>
              <w:fldChar w:fldCharType="begin"/>
            </w:r>
            <w:r>
              <w:rPr>
                <w:webHidden/>
              </w:rPr>
              <w:instrText>PAGEREF _Toc193471063 \h</w:instrText>
            </w:r>
            <w:r>
              <w:rPr>
                <w:webHidden/>
              </w:rPr>
              <w:fldChar w:fldCharType="separate"/>
            </w:r>
            <w:r>
              <w:rPr>
                <w:rStyle w:val="IndexLink"/>
                <w:vanish w:val="false"/>
                <w:color w:val="000000"/>
              </w:rPr>
              <w:tab/>
              <w:t>17</w:t>
            </w:r>
            <w:r>
              <w:rPr>
                <w:webHidden/>
              </w:rPr>
              <w:fldChar w:fldCharType="end"/>
            </w:r>
          </w:hyperlink>
        </w:p>
        <w:p>
          <w:pPr>
            <w:pStyle w:val="Contents2"/>
            <w:tabs>
              <w:tab w:val="clear" w:pos="708"/>
              <w:tab w:val="right" w:pos="9440" w:leader="dot"/>
            </w:tabs>
            <w:rPr/>
          </w:pPr>
          <w:hyperlink w:anchor="_Toc193471064">
            <w:r>
              <w:rPr>
                <w:webHidden/>
                <w:rStyle w:val="IndexLink"/>
                <w:rFonts w:cs="Arial" w:ascii="Arial" w:hAnsi="Arial"/>
                <w:b/>
                <w:bCs/>
                <w:vanish w:val="false"/>
                <w:color w:val="000000"/>
              </w:rPr>
              <w:t>4.3.5 Activitatea juridică, litigii</w:t>
            </w:r>
            <w:r>
              <w:rPr>
                <w:webHidden/>
              </w:rPr>
              <w:fldChar w:fldCharType="begin"/>
            </w:r>
            <w:r>
              <w:rPr>
                <w:webHidden/>
              </w:rPr>
              <w:instrText>PAGEREF _Toc193471064 \h</w:instrText>
            </w:r>
            <w:r>
              <w:rPr>
                <w:webHidden/>
              </w:rPr>
              <w:fldChar w:fldCharType="separate"/>
            </w:r>
            <w:r>
              <w:rPr>
                <w:rStyle w:val="IndexLink"/>
                <w:vanish w:val="false"/>
                <w:color w:val="000000"/>
              </w:rPr>
              <w:tab/>
              <w:t>18</w:t>
            </w:r>
            <w:r>
              <w:rPr>
                <w:webHidden/>
              </w:rPr>
              <w:fldChar w:fldCharType="end"/>
            </w:r>
          </w:hyperlink>
        </w:p>
        <w:p>
          <w:pPr>
            <w:pStyle w:val="Contents1"/>
            <w:tabs>
              <w:tab w:val="clear" w:pos="708"/>
              <w:tab w:val="left" w:pos="660" w:leader="none"/>
              <w:tab w:val="right" w:pos="9440" w:leader="dot"/>
            </w:tabs>
            <w:rPr>
              <w:rFonts w:eastAsia="" w:eastAsiaTheme="minorEastAsia"/>
              <w:lang w:val="en-US"/>
            </w:rPr>
          </w:pPr>
          <w:hyperlink w:anchor="_Toc193471065">
            <w:r>
              <w:rPr>
                <w:webHidden/>
                <w:rStyle w:val="IndexLink"/>
                <w:rFonts w:cs="Arial" w:ascii="Arial" w:hAnsi="Arial"/>
                <w:b/>
                <w:bCs/>
                <w:vanish w:val="false"/>
                <w:color w:val="000000"/>
              </w:rPr>
              <w:t>(5)</w:t>
            </w:r>
            <w:r>
              <w:rPr>
                <w:rStyle w:val="IndexLink"/>
                <w:rFonts w:eastAsia="" w:eastAsiaTheme="minorEastAsia"/>
                <w:color w:val="000000"/>
                <w:lang w:val="en-US"/>
              </w:rPr>
              <w:tab/>
            </w:r>
            <w:r>
              <w:rPr>
                <w:rStyle w:val="IndexLink"/>
                <w:rFonts w:cs="Arial" w:ascii="Arial" w:hAnsi="Arial"/>
                <w:b/>
                <w:bCs/>
                <w:color w:val="000000"/>
              </w:rPr>
              <w:t>Viziunea, misiunea și obiectivele strategice ale TRANSP</w:t>
            </w:r>
            <w:r>
              <w:rPr>
                <w:rStyle w:val="IndexLink"/>
                <w:rFonts w:cs="Arial" w:ascii="Arial" w:hAnsi="Arial"/>
                <w:b/>
                <w:bCs/>
              </w:rPr>
              <w:t>ORT PUBLIC S.A.</w:t>
            </w:r>
            <w:r>
              <w:rPr>
                <w:webHidden/>
              </w:rPr>
              <w:fldChar w:fldCharType="begin"/>
            </w:r>
            <w:r>
              <w:rPr>
                <w:webHidden/>
              </w:rPr>
              <w:instrText>PAGEREF _Toc193471065 \h</w:instrText>
            </w:r>
            <w:r>
              <w:rPr>
                <w:webHidden/>
              </w:rPr>
              <w:fldChar w:fldCharType="separate"/>
            </w:r>
            <w:r>
              <w:rPr>
                <w:rStyle w:val="IndexLink"/>
                <w:vanish w:val="false"/>
              </w:rPr>
              <w:tab/>
              <w:t>19</w:t>
            </w:r>
            <w:r>
              <w:rPr>
                <w:webHidden/>
              </w:rPr>
              <w:fldChar w:fldCharType="end"/>
            </w:r>
          </w:hyperlink>
        </w:p>
        <w:p>
          <w:pPr>
            <w:pStyle w:val="Contents2"/>
            <w:tabs>
              <w:tab w:val="clear" w:pos="708"/>
              <w:tab w:val="right" w:pos="9440" w:leader="dot"/>
            </w:tabs>
            <w:rPr>
              <w:rFonts w:eastAsia="" w:eastAsiaTheme="minorEastAsia"/>
              <w:lang w:val="en-US"/>
            </w:rPr>
          </w:pPr>
          <w:hyperlink w:anchor="_Toc193471066">
            <w:r>
              <w:rPr>
                <w:webHidden/>
                <w:rStyle w:val="IndexLink"/>
                <w:rFonts w:cs="Arial" w:ascii="Arial" w:hAnsi="Arial"/>
                <w:b/>
                <w:bCs/>
                <w:vanish w:val="false"/>
              </w:rPr>
              <w:t>5.1 Viziunea autorității publice tutelare și a acționarilor, misiunea și obiectivele societății TRANSPORT PUBLIC S.A., derivate din politica guvernamentală</w:t>
            </w:r>
            <w:r>
              <w:rPr>
                <w:webHidden/>
              </w:rPr>
              <w:fldChar w:fldCharType="begin"/>
            </w:r>
            <w:r>
              <w:rPr>
                <w:webHidden/>
              </w:rPr>
              <w:instrText>PAGEREF _Toc193471066 \h</w:instrText>
            </w:r>
            <w:r>
              <w:rPr>
                <w:webHidden/>
              </w:rPr>
              <w:fldChar w:fldCharType="separate"/>
            </w:r>
            <w:r>
              <w:rPr>
                <w:rStyle w:val="IndexLink"/>
                <w:vanish w:val="false"/>
              </w:rPr>
              <w:tab/>
              <w:t>19</w:t>
            </w:r>
            <w:r>
              <w:rPr>
                <w:webHidden/>
              </w:rPr>
              <w:fldChar w:fldCharType="end"/>
            </w:r>
          </w:hyperlink>
        </w:p>
        <w:p>
          <w:pPr>
            <w:pStyle w:val="Contents1"/>
            <w:tabs>
              <w:tab w:val="clear" w:pos="708"/>
              <w:tab w:val="left" w:pos="660" w:leader="none"/>
              <w:tab w:val="right" w:pos="9440" w:leader="dot"/>
            </w:tabs>
            <w:rPr>
              <w:rFonts w:eastAsia="" w:eastAsiaTheme="minorEastAsia"/>
              <w:lang w:val="en-US"/>
            </w:rPr>
          </w:pPr>
          <w:hyperlink w:anchor="_Toc193471067">
            <w:r>
              <w:rPr>
                <w:webHidden/>
                <w:rStyle w:val="IndexLink"/>
                <w:rFonts w:cs="Arial" w:ascii="Arial" w:hAnsi="Arial"/>
                <w:b/>
                <w:bCs/>
                <w:vanish w:val="false"/>
              </w:rPr>
              <w:t>(6)</w:t>
            </w:r>
            <w:r>
              <w:rPr>
                <w:rStyle w:val="IndexLink"/>
                <w:rFonts w:eastAsia="" w:eastAsiaTheme="minorEastAsia"/>
                <w:lang w:val="en-US"/>
              </w:rPr>
              <w:tab/>
            </w:r>
            <w:r>
              <w:rPr>
                <w:rStyle w:val="IndexLink"/>
                <w:rFonts w:cs="Arial" w:ascii="Arial" w:hAnsi="Arial"/>
                <w:b/>
                <w:bCs/>
              </w:rPr>
              <w:t>Așteptările acționarilor</w:t>
            </w:r>
            <w:r>
              <w:rPr>
                <w:webHidden/>
              </w:rPr>
              <w:fldChar w:fldCharType="begin"/>
            </w:r>
            <w:r>
              <w:rPr>
                <w:webHidden/>
              </w:rPr>
              <w:instrText>PAGEREF _Toc193471067 \h</w:instrText>
            </w:r>
            <w:r>
              <w:rPr>
                <w:webHidden/>
              </w:rPr>
              <w:fldChar w:fldCharType="separate"/>
            </w:r>
            <w:r>
              <w:rPr>
                <w:rStyle w:val="IndexLink"/>
                <w:vanish w:val="false"/>
              </w:rPr>
              <w:tab/>
              <w:t>22</w:t>
            </w:r>
            <w:r>
              <w:rPr>
                <w:webHidden/>
              </w:rPr>
              <w:fldChar w:fldCharType="end"/>
            </w:r>
          </w:hyperlink>
        </w:p>
        <w:p>
          <w:pPr>
            <w:pStyle w:val="Contents1"/>
            <w:tabs>
              <w:tab w:val="clear" w:pos="708"/>
              <w:tab w:val="left" w:pos="660" w:leader="none"/>
              <w:tab w:val="right" w:pos="9440" w:leader="dot"/>
            </w:tabs>
            <w:rPr>
              <w:rFonts w:eastAsia="" w:eastAsiaTheme="minorEastAsia"/>
              <w:lang w:val="en-US"/>
            </w:rPr>
          </w:pPr>
          <w:hyperlink w:anchor="_Toc193471068">
            <w:r>
              <w:rPr>
                <w:webHidden/>
                <w:rStyle w:val="IndexLink"/>
                <w:rFonts w:cs="Arial" w:ascii="Arial" w:hAnsi="Arial"/>
                <w:b/>
                <w:bCs/>
                <w:vanish w:val="false"/>
              </w:rPr>
              <w:t>(7)</w:t>
            </w:r>
            <w:r>
              <w:rPr>
                <w:rStyle w:val="IndexLink"/>
                <w:rFonts w:eastAsia="" w:eastAsiaTheme="minorEastAsia"/>
                <w:lang w:val="en-US"/>
              </w:rPr>
              <w:tab/>
            </w:r>
            <w:r>
              <w:rPr>
                <w:rStyle w:val="IndexLink"/>
                <w:rFonts w:cs="Arial" w:ascii="Arial" w:hAnsi="Arial"/>
                <w:b/>
                <w:bCs/>
              </w:rPr>
              <w:t>Anexă</w:t>
            </w:r>
            <w:r>
              <w:rPr>
                <w:webHidden/>
              </w:rPr>
              <w:fldChar w:fldCharType="begin"/>
            </w:r>
            <w:r>
              <w:rPr>
                <w:webHidden/>
              </w:rPr>
              <w:instrText>PAGEREF _Toc193471068 \h</w:instrText>
            </w:r>
            <w:r>
              <w:rPr>
                <w:webHidden/>
              </w:rPr>
              <w:fldChar w:fldCharType="separate"/>
            </w:r>
            <w:r>
              <w:rPr>
                <w:rStyle w:val="IndexLink"/>
                <w:vanish w:val="false"/>
              </w:rPr>
              <w:tab/>
              <w:t>36</w:t>
            </w:r>
            <w:r>
              <w:rPr>
                <w:webHidden/>
              </w:rPr>
              <w:fldChar w:fldCharType="end"/>
            </w:r>
          </w:hyperlink>
        </w:p>
        <w:p>
          <w:pPr>
            <w:pStyle w:val="Normal"/>
            <w:jc w:val="both"/>
            <w:rPr>
              <w:rFonts w:ascii="Arial" w:hAnsi="Arial" w:cs="Arial"/>
            </w:rPr>
          </w:pPr>
          <w:r>
            <w:rPr>
              <w:rFonts w:cs="Arial" w:ascii="Arial" w:hAnsi="Arial"/>
            </w:rPr>
          </w:r>
          <w:r>
            <w:rPr>
              <w:rFonts w:cs="Arial" w:ascii="Arial" w:hAnsi="Arial"/>
            </w:rPr>
            <w:fldChar w:fldCharType="end"/>
          </w:r>
        </w:p>
      </w:sdtContent>
    </w:sdt>
    <w:p>
      <w:pPr>
        <w:pStyle w:val="Heading1"/>
        <w:numPr>
          <w:ilvl w:val="0"/>
          <w:numId w:val="22"/>
        </w:numPr>
        <w:ind w:left="0" w:hanging="0"/>
        <w:jc w:val="both"/>
        <w:rPr>
          <w:rFonts w:ascii="Arial" w:hAnsi="Arial" w:cs="Arial"/>
          <w:b/>
          <w:b/>
          <w:bCs/>
          <w:color w:val="auto"/>
        </w:rPr>
      </w:pPr>
      <w:bookmarkStart w:id="1" w:name="_Toc193471042"/>
      <w:r>
        <w:rPr>
          <w:rFonts w:cs="Arial" w:ascii="Arial" w:hAnsi="Arial"/>
          <w:b/>
          <w:bCs/>
          <w:color w:val="auto"/>
        </w:rPr>
        <w:t>Introducere</w:t>
      </w:r>
      <w:bookmarkEnd w:id="1"/>
      <w:r>
        <w:rPr>
          <w:rFonts w:cs="Arial" w:ascii="Arial" w:hAnsi="Arial"/>
          <w:b/>
          <w:bCs/>
          <w:color w:val="auto"/>
        </w:rPr>
        <w:t xml:space="preserve"> </w:t>
      </w:r>
    </w:p>
    <w:p>
      <w:pPr>
        <w:pStyle w:val="Normal"/>
        <w:jc w:val="both"/>
        <w:rPr>
          <w:rFonts w:ascii="Arial" w:hAnsi="Arial" w:cs="Arial"/>
        </w:rPr>
      </w:pPr>
      <w:bookmarkStart w:id="2" w:name="bookmark2"/>
      <w:bookmarkEnd w:id="2"/>
      <w:r>
        <w:rPr>
          <w:rFonts w:cs="Arial" w:ascii="Arial" w:hAnsi="Arial"/>
        </w:rPr>
        <w:tab/>
        <w:tab/>
      </w:r>
    </w:p>
    <w:p>
      <w:pPr>
        <w:pStyle w:val="Heading2"/>
        <w:numPr>
          <w:ilvl w:val="1"/>
          <w:numId w:val="13"/>
        </w:numPr>
        <w:ind w:left="540" w:hanging="540"/>
        <w:jc w:val="both"/>
        <w:rPr>
          <w:rFonts w:ascii="Arial" w:hAnsi="Arial" w:cs="Arial"/>
          <w:b/>
          <w:b/>
          <w:bCs/>
        </w:rPr>
      </w:pPr>
      <w:bookmarkStart w:id="3" w:name="_Toc193471043"/>
      <w:r>
        <w:rPr>
          <w:rFonts w:cs="Arial" w:ascii="Arial" w:hAnsi="Arial"/>
          <w:b/>
          <w:bCs/>
        </w:rPr>
        <w:t>Cadrul legal</w:t>
      </w:r>
      <w:bookmarkEnd w:id="3"/>
    </w:p>
    <w:p>
      <w:pPr>
        <w:pStyle w:val="Normal"/>
        <w:jc w:val="both"/>
        <w:rPr/>
      </w:pPr>
      <w:r>
        <w:rPr/>
      </w:r>
    </w:p>
    <w:p>
      <w:pPr>
        <w:pStyle w:val="Normal"/>
        <w:jc w:val="both"/>
        <w:rPr>
          <w:rFonts w:ascii="Arial" w:hAnsi="Arial" w:cs="Arial"/>
          <w:sz w:val="24"/>
          <w:szCs w:val="24"/>
        </w:rPr>
      </w:pPr>
      <w:r>
        <w:rPr>
          <w:rFonts w:cs="Arial" w:ascii="Arial" w:hAnsi="Arial"/>
          <w:sz w:val="24"/>
          <w:szCs w:val="24"/>
        </w:rPr>
        <w:t>Prezentul document a fost întocmit în conformitate cu prevederile Ordonanței de urgența a Guvernului  nr. 109/2011 privind guvernanța corporativă a întreprinderilor publice, cu modificările și completările ulterioare și ale Hotărârii Guvernului nr. 639/2023 pentru aprobarea normelor metodologice de aplicare a Ordonanței de  urgența a Guvernului nr. 109/2011 privind guvernanța corporativă  a întreprinderilor publice și face parte din  setul de documente obligatorii cu care începe procesul de selecție a membrilor consiliului de administrație al societății.</w:t>
      </w:r>
    </w:p>
    <w:p>
      <w:pPr>
        <w:pStyle w:val="Normal"/>
        <w:jc w:val="both"/>
        <w:rPr>
          <w:rFonts w:ascii="Arial" w:hAnsi="Arial" w:cs="Arial"/>
          <w:sz w:val="24"/>
          <w:szCs w:val="24"/>
        </w:rPr>
      </w:pPr>
      <w:r>
        <w:rPr>
          <w:rFonts w:cs="Arial" w:ascii="Arial" w:hAnsi="Arial"/>
          <w:sz w:val="24"/>
          <w:szCs w:val="24"/>
        </w:rPr>
      </w:r>
    </w:p>
    <w:p>
      <w:pPr>
        <w:pStyle w:val="Heading2"/>
        <w:numPr>
          <w:ilvl w:val="1"/>
          <w:numId w:val="13"/>
        </w:numPr>
        <w:ind w:left="540" w:hanging="540"/>
        <w:jc w:val="both"/>
        <w:rPr>
          <w:rFonts w:ascii="Arial" w:hAnsi="Arial" w:cs="Arial"/>
          <w:b/>
          <w:b/>
          <w:bCs/>
        </w:rPr>
      </w:pPr>
      <w:bookmarkStart w:id="4" w:name="_Toc193471044"/>
      <w:r>
        <w:rPr>
          <w:rFonts w:cs="Arial" w:ascii="Arial" w:hAnsi="Arial"/>
          <w:b/>
          <w:bCs/>
        </w:rPr>
        <w:t>Scop</w:t>
      </w:r>
      <w:bookmarkEnd w:id="4"/>
    </w:p>
    <w:p>
      <w:pPr>
        <w:pStyle w:val="Normal"/>
        <w:jc w:val="both"/>
        <w:rPr/>
      </w:pPr>
      <w:r>
        <w:rPr/>
      </w:r>
    </w:p>
    <w:p>
      <w:pPr>
        <w:pStyle w:val="BodyText1"/>
        <w:spacing w:lineRule="auto" w:line="276" w:before="0" w:after="120"/>
        <w:ind w:hanging="0"/>
        <w:jc w:val="both"/>
        <w:rPr>
          <w:rFonts w:ascii="Arial" w:hAnsi="Arial" w:cs="Arial"/>
        </w:rPr>
      </w:pPr>
      <w:r>
        <w:rPr>
          <w:rStyle w:val="Bodytext"/>
          <w:rFonts w:eastAsia="Courier New" w:cs="Arial" w:ascii="Arial" w:hAnsi="Arial"/>
        </w:rPr>
        <w:t>Serviciul de transport public local face parte din sfera serviciilor comunitare de utilitate publică și cuprinde totalitatea acțiunilor și activităților de utilitate publică și de interes economic și social general, desfășurate la nivelul unităților administrativ teritoriale, sub controlul, conducerea sau coordonarea autorităților administrației publice locale, în scopul asigurării transportului public local. În prezent, transportul public de persoane în municipiul Tulcea este organizat ca transport public local de persoane prin curse regulate (cu autobuze și mijloace de transport navale), iar operator este Societatea TRANSPORT PUBLIC  S.A. Tulcea.</w:t>
      </w:r>
    </w:p>
    <w:p>
      <w:pPr>
        <w:pStyle w:val="TextBody"/>
        <w:spacing w:before="0" w:after="120"/>
        <w:jc w:val="both"/>
        <w:rPr>
          <w:rFonts w:ascii="Arial" w:hAnsi="Arial" w:cs="Arial"/>
          <w:sz w:val="24"/>
          <w:szCs w:val="24"/>
        </w:rPr>
      </w:pPr>
      <w:r>
        <w:rPr>
          <w:rFonts w:cs="Arial" w:ascii="Arial" w:hAnsi="Arial"/>
          <w:sz w:val="24"/>
          <w:szCs w:val="24"/>
        </w:rPr>
        <w:t xml:space="preserve">Unitatea administrativ - teritorială Municipiul Tulcea, în calitate autoritate publică tutelară pentru Societatea TRANSPORT PUBLIC S.A., prin compartimentul guvernanță corporativă, stabilește prin acest document, așteptările privind performanțele de la organele de administrare și conducere ale societății, care se definește ca întreprindere publică și cuprinde obiectivele societății pentru următoarea perioadă de mandat a  administratorilor din consiliul de administrație al societății TRANSPORT PUBLIC S.A., respectiv pentru perioada 2025-2029, pentru a stabili criteriile specifice de selecție a candidaților aflați pe lista scurta. </w:t>
      </w:r>
    </w:p>
    <w:p>
      <w:pPr>
        <w:pStyle w:val="TextBody"/>
        <w:spacing w:before="0" w:after="120"/>
        <w:jc w:val="both"/>
        <w:rPr>
          <w:rStyle w:val="Heading11"/>
          <w:rFonts w:ascii="Arial" w:hAnsi="Arial" w:eastAsia="" w:cs="Arial" w:eastAsiaTheme="majorEastAsia"/>
          <w:b w:val="false"/>
          <w:b w:val="false"/>
          <w:bCs w:val="false"/>
          <w:sz w:val="24"/>
          <w:szCs w:val="24"/>
        </w:rPr>
      </w:pPr>
      <w:r>
        <w:rPr>
          <w:rFonts w:cs="Arial" w:ascii="Arial" w:hAnsi="Arial"/>
          <w:sz w:val="24"/>
          <w:szCs w:val="24"/>
        </w:rPr>
        <w:t>Pe baza Scrisorii de așteptări, candidații aflați pe lista scurtă  redactează Declarația de</w:t>
      </w:r>
      <w:r>
        <w:rPr>
          <w:rStyle w:val="Heading11"/>
          <w:rFonts w:cs="Arial" w:ascii="Arial" w:hAnsi="Arial"/>
          <w:sz w:val="24"/>
          <w:szCs w:val="24"/>
        </w:rPr>
        <w:t xml:space="preserve"> </w:t>
      </w:r>
      <w:r>
        <w:rPr>
          <w:rStyle w:val="Heading11"/>
          <w:rFonts w:cs="Arial" w:ascii="Arial" w:hAnsi="Arial"/>
          <w:b w:val="false"/>
          <w:bCs w:val="false"/>
          <w:sz w:val="24"/>
          <w:szCs w:val="24"/>
        </w:rPr>
        <w:t xml:space="preserve">intenție în care prezintă perspectiva personală  privind dezvoltarea societății, prin prisma poziției pe </w:t>
      </w:r>
      <w:r>
        <w:rPr>
          <w:rFonts w:cs="Arial" w:ascii="Arial" w:hAnsi="Arial"/>
          <w:bCs/>
          <w:sz w:val="24"/>
          <w:szCs w:val="24"/>
        </w:rPr>
        <w:t>care</w:t>
      </w:r>
      <w:r>
        <w:rPr>
          <w:rStyle w:val="Heading11"/>
          <w:rFonts w:cs="Arial" w:ascii="Arial" w:hAnsi="Arial"/>
          <w:b w:val="false"/>
          <w:bCs w:val="false"/>
          <w:sz w:val="24"/>
          <w:szCs w:val="24"/>
        </w:rPr>
        <w:t xml:space="preserve"> dorește să o ocupe în cadrul consiliului, iar candidații selectați pentru poziția de administrator în cadrul consiliului de administrație al societății vor întocmi Planul de administrare al societății pentru următoarea perioada de mandat, în vederea realizării obiectivelor stabilite pentru această perioadă.</w:t>
      </w:r>
    </w:p>
    <w:p>
      <w:pPr>
        <w:pStyle w:val="Normal"/>
        <w:jc w:val="both"/>
        <w:rPr>
          <w:rFonts w:ascii="Arial" w:hAnsi="Arial" w:eastAsia="Times New Roman" w:cs="Arial"/>
          <w:sz w:val="24"/>
          <w:szCs w:val="24"/>
          <w:lang w:val="en-US"/>
        </w:rPr>
      </w:pPr>
      <w:r>
        <w:rPr>
          <w:rFonts w:eastAsia="Times New Roman" w:cs="Arial" w:ascii="Arial" w:hAnsi="Arial"/>
          <w:sz w:val="24"/>
          <w:szCs w:val="24"/>
          <w:lang w:val="en-US"/>
        </w:rPr>
      </w:r>
      <w:r>
        <w:br w:type="page"/>
      </w:r>
    </w:p>
    <w:p>
      <w:pPr>
        <w:pStyle w:val="Heading1"/>
        <w:numPr>
          <w:ilvl w:val="0"/>
          <w:numId w:val="23"/>
        </w:numPr>
        <w:ind w:left="0" w:hanging="0"/>
        <w:jc w:val="both"/>
        <w:rPr>
          <w:rFonts w:ascii="Arial" w:hAnsi="Arial" w:cs="Arial"/>
          <w:b/>
          <w:b/>
          <w:bCs/>
          <w:color w:val="auto"/>
        </w:rPr>
      </w:pPr>
      <w:bookmarkStart w:id="5" w:name="_Toc193471045"/>
      <w:r>
        <w:rPr>
          <w:rFonts w:cs="Arial" w:ascii="Arial" w:hAnsi="Arial"/>
          <w:b/>
          <w:bCs/>
          <w:color w:val="auto"/>
        </w:rPr>
        <w:t>Prezentare generală a Întreprinderii Publice</w:t>
      </w:r>
      <w:bookmarkEnd w:id="5"/>
    </w:p>
    <w:p>
      <w:pPr>
        <w:pStyle w:val="Normal"/>
        <w:jc w:val="both"/>
        <w:rPr>
          <w:rFonts w:ascii="Arial" w:hAnsi="Arial" w:cs="Arial"/>
        </w:rPr>
      </w:pPr>
      <w:r>
        <w:rPr>
          <w:rFonts w:cs="Arial" w:ascii="Arial" w:hAnsi="Arial"/>
        </w:rPr>
      </w:r>
    </w:p>
    <w:p>
      <w:pPr>
        <w:pStyle w:val="Heading2"/>
        <w:numPr>
          <w:ilvl w:val="1"/>
          <w:numId w:val="14"/>
        </w:numPr>
        <w:ind w:left="630" w:hanging="630"/>
        <w:jc w:val="both"/>
        <w:rPr>
          <w:rFonts w:ascii="Arial" w:hAnsi="Arial" w:cs="Arial"/>
          <w:b/>
          <w:b/>
          <w:bCs/>
        </w:rPr>
      </w:pPr>
      <w:bookmarkStart w:id="6" w:name="_Toc193471046"/>
      <w:r>
        <w:rPr>
          <w:rFonts w:cs="Arial" w:ascii="Arial" w:hAnsi="Arial"/>
          <w:b/>
          <w:bCs/>
        </w:rPr>
        <w:t>Prezentare societate, scurt istoric</w:t>
      </w:r>
      <w:bookmarkEnd w:id="6"/>
      <w:r>
        <w:rPr>
          <w:rFonts w:cs="Arial" w:ascii="Arial" w:hAnsi="Arial"/>
          <w:b/>
          <w:bCs/>
        </w:rPr>
        <w:t xml:space="preserve"> </w:t>
      </w:r>
    </w:p>
    <w:p>
      <w:pPr>
        <w:pStyle w:val="ListParagraph"/>
        <w:ind w:left="360" w:hanging="0"/>
        <w:jc w:val="both"/>
        <w:rPr>
          <w:rFonts w:ascii="Arial" w:hAnsi="Arial" w:cs="Arial"/>
        </w:rPr>
      </w:pPr>
      <w:r>
        <w:rPr>
          <w:rFonts w:cs="Arial" w:ascii="Arial" w:hAnsi="Arial"/>
        </w:rPr>
      </w:r>
    </w:p>
    <w:p>
      <w:pPr>
        <w:pStyle w:val="ListParagraph"/>
        <w:ind w:left="0" w:hanging="0"/>
        <w:jc w:val="both"/>
        <w:rPr>
          <w:rStyle w:val="Heading11"/>
          <w:rFonts w:ascii="Arial" w:hAnsi="Arial" w:cs="Arial"/>
          <w:b w:val="false"/>
          <w:b w:val="false"/>
          <w:sz w:val="24"/>
          <w:szCs w:val="24"/>
          <w:lang w:eastAsia="ro-RO"/>
        </w:rPr>
      </w:pPr>
      <w:r>
        <w:rPr>
          <w:rStyle w:val="Heading11"/>
          <w:rFonts w:cs="Arial" w:ascii="Arial" w:hAnsi="Arial"/>
          <w:sz w:val="24"/>
          <w:szCs w:val="24"/>
          <w:lang w:eastAsia="ro-RO"/>
        </w:rPr>
        <w:t>Societatea TRANSPORT PUBLIC S.A.</w:t>
      </w:r>
      <w:r>
        <w:rPr>
          <w:rStyle w:val="Heading11"/>
          <w:rFonts w:cs="Arial" w:ascii="Arial" w:hAnsi="Arial"/>
          <w:b w:val="false"/>
          <w:sz w:val="24"/>
          <w:szCs w:val="24"/>
          <w:lang w:eastAsia="ro-RO"/>
        </w:rPr>
        <w:t>,</w:t>
      </w:r>
      <w:r>
        <w:rPr>
          <w:rStyle w:val="Heading11"/>
          <w:rFonts w:cs="Arial" w:ascii="Arial" w:hAnsi="Arial"/>
          <w:sz w:val="24"/>
          <w:szCs w:val="24"/>
          <w:lang w:eastAsia="ro-RO"/>
        </w:rPr>
        <w:t xml:space="preserve"> </w:t>
      </w:r>
      <w:r>
        <w:rPr>
          <w:rStyle w:val="Heading11"/>
          <w:rFonts w:cs="Arial" w:ascii="Arial" w:hAnsi="Arial"/>
          <w:b w:val="false"/>
          <w:sz w:val="24"/>
          <w:szCs w:val="24"/>
          <w:lang w:eastAsia="ro-RO"/>
        </w:rPr>
        <w:t xml:space="preserve">înființată prin Hotărârea Consiliului Local al Municipiului Tulcea nr. 45/30.04.1998, este o întreprindere publică, având drept acționar majoritar Unitatea Administrativ-Teritorială Municipiul Tulcea și Societatea Energoterm S.A. Tulcea si funcționează în baza Actului Constitutiv,  a Legii nr. 31/1990 a societăților, republicată, cu modificările și completările ulterioare și a Ordonanței de Urgență a Guvernului nr. 109/2011 privind guvernanța corporativă a întreprinderilor publice, cu modificările și completările ulterioare, durata societății fiind nedeterminată. </w:t>
      </w:r>
    </w:p>
    <w:p>
      <w:pPr>
        <w:pStyle w:val="Normal"/>
        <w:jc w:val="both"/>
        <w:rPr>
          <w:rFonts w:ascii="Arial" w:hAnsi="Arial" w:cs="Arial"/>
          <w:sz w:val="24"/>
          <w:szCs w:val="24"/>
        </w:rPr>
      </w:pPr>
      <w:r>
        <w:rPr>
          <w:rFonts w:cs="Arial" w:ascii="Arial" w:hAnsi="Arial"/>
          <w:sz w:val="24"/>
          <w:szCs w:val="24"/>
        </w:rPr>
        <w:t>Principalul obiect de activitate al societății este prestarea serviciului de transport urban, suburban și metropolitan de călători (cod CAEN 4931).</w:t>
      </w:r>
    </w:p>
    <w:p>
      <w:pPr>
        <w:pStyle w:val="ListParagraph"/>
        <w:ind w:left="0" w:hanging="0"/>
        <w:jc w:val="both"/>
        <w:rPr>
          <w:rFonts w:ascii="Arial" w:hAnsi="Arial" w:cs="Arial"/>
          <w:sz w:val="24"/>
          <w:szCs w:val="24"/>
        </w:rPr>
      </w:pPr>
      <w:r>
        <w:rPr>
          <w:rFonts w:cs="Arial" w:ascii="Arial" w:hAnsi="Arial"/>
          <w:sz w:val="24"/>
          <w:szCs w:val="24"/>
        </w:rPr>
        <w:t xml:space="preserve">Serviciul de transport public din Municipiul Tulcea se desfășoară în conformitate cu prevederile Legii nr. 92/2007 privind transportul public local, cu modificările și completările ulterioare fiind atribuit Societății TRANSPORT PUBLIC S.A. prin contractul de delegare a gestiunii serviciului de transport public local din Municipiul Tulcea, nr. </w:t>
      </w:r>
      <w:r>
        <w:rPr>
          <w:rFonts w:eastAsia="Calibri" w:cs="Arial" w:ascii="Arial" w:hAnsi="Arial"/>
          <w:sz w:val="24"/>
          <w:szCs w:val="24"/>
        </w:rPr>
        <w:t>34606/01.11.2019</w:t>
      </w:r>
      <w:r>
        <w:rPr>
          <w:rFonts w:cs="Arial" w:ascii="Arial" w:hAnsi="Arial"/>
        </w:rPr>
        <w:t>,</w:t>
      </w:r>
      <w:r>
        <w:rPr>
          <w:rFonts w:cs="Arial" w:ascii="Arial" w:hAnsi="Arial"/>
          <w:sz w:val="24"/>
          <w:szCs w:val="24"/>
        </w:rPr>
        <w:t xml:space="preserve"> încheiat între U.A.T. Municipiul Tulcea și societatea Transport Public S.A. Tulcea, cu modificările și completările ulterioare, </w:t>
      </w:r>
      <w:r>
        <w:rPr>
          <w:rStyle w:val="Bodytext"/>
          <w:rFonts w:eastAsia="Courier New" w:cs="Arial" w:ascii="Arial" w:hAnsi="Arial"/>
          <w:sz w:val="24"/>
          <w:szCs w:val="24"/>
        </w:rPr>
        <w:t>aprobat prin Hotărârea Consiliului Local  nr. 228 din data de 31.10.2019</w:t>
      </w:r>
      <w:r>
        <w:rPr>
          <w:rFonts w:cs="Arial" w:ascii="Arial" w:hAnsi="Arial"/>
          <w:sz w:val="24"/>
          <w:szCs w:val="24"/>
        </w:rPr>
        <w:t xml:space="preserve">.            </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În baza contractului de delegare, societatea are dreptul exclusiv și obligația de a desfășura serviciul public local pe traseele atribuite, prin exploatarea infrastructurii și a mijloacelor de transport necesare prestării serviciului de transport public local. În baza contractului de delegare, societatea are dreptul exclusiv de a desfășura serviciul public local pe traseele atribuite, prin exploatarea infrastructurii și a mijloacelor de transport necesare prestării serviciului de transport public local. Astfel, Societatea Transport Public  S.A. Tulcea execută serviciul de transport public local de persoane prin curse regulate efectuat cu autobuze urbane și cu nave de transport de pasageri pe căile navigabile în municipiul Tulcea.</w:t>
      </w:r>
    </w:p>
    <w:p>
      <w:pPr>
        <w:pStyle w:val="Normal"/>
        <w:jc w:val="both"/>
        <w:rPr>
          <w:rFonts w:ascii="Arial" w:hAnsi="Arial" w:cs="Arial"/>
          <w:sz w:val="24"/>
          <w:szCs w:val="24"/>
        </w:rPr>
      </w:pPr>
      <w:r>
        <w:rPr>
          <w:rStyle w:val="Bodytext"/>
          <w:rFonts w:eastAsia="Courier New" w:cs="Arial" w:ascii="Arial" w:hAnsi="Arial"/>
          <w:sz w:val="24"/>
          <w:szCs w:val="24"/>
        </w:rPr>
        <w:t>Societatea poate realiza și activități conexe ce vor respecta reglementările specifice domeniului, inclusiv regulile și cerințele stabilite de Autoritatea Contractantă prin contractul de delegare a gestiunii serviciului de transport public local.</w:t>
      </w:r>
    </w:p>
    <w:p>
      <w:pPr>
        <w:pStyle w:val="Normal"/>
        <w:jc w:val="both"/>
        <w:rPr>
          <w:rFonts w:ascii="Arial" w:hAnsi="Arial" w:cs="Arial"/>
          <w:sz w:val="24"/>
          <w:szCs w:val="24"/>
        </w:rPr>
      </w:pPr>
      <w:r>
        <w:rPr>
          <w:rFonts w:cs="Arial" w:ascii="Arial" w:hAnsi="Arial"/>
          <w:sz w:val="24"/>
          <w:szCs w:val="24"/>
        </w:rPr>
        <w:t>Activități conexe obiectului principal de activitate:</w:t>
      </w:r>
    </w:p>
    <w:p>
      <w:pPr>
        <w:pStyle w:val="Normal"/>
        <w:widowControl w:val="false"/>
        <w:numPr>
          <w:ilvl w:val="1"/>
          <w:numId w:val="17"/>
        </w:numPr>
        <w:tabs>
          <w:tab w:val="clear" w:pos="708"/>
          <w:tab w:val="left" w:pos="810" w:leader="none"/>
        </w:tabs>
        <w:suppressAutoHyphens w:val="true"/>
        <w:ind w:left="360" w:hanging="360"/>
        <w:jc w:val="both"/>
        <w:rPr>
          <w:rFonts w:ascii="Arial" w:hAnsi="Arial" w:cs="Arial"/>
          <w:sz w:val="24"/>
          <w:szCs w:val="24"/>
        </w:rPr>
      </w:pPr>
      <w:r>
        <w:rPr>
          <w:rFonts w:cs="Arial" w:ascii="Arial" w:hAnsi="Arial"/>
          <w:sz w:val="24"/>
          <w:szCs w:val="24"/>
        </w:rPr>
        <w:t>Transport fluvial de călători pe relația Tulcea - suburbia Tudor Vladimirescu și retur;</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Întreținerea și repararea mijloacelor de transport, a instalațiilor proprii în scopul furnizării/prestării acestui serviciu public;</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Efectuarea transportului de călători și bunuri, în trafic intern sau internațional;</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Asigurarea activităților de investiții, reparații capital, de reabilitare și modernizare, în cadrul procesului specific de furnizare și prestare a serviciilor publice încredințate;</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Dezvoltarea și perfecționarea resurselor umane și materiale precum și a bazei tehnice care asigură organizarea și funcționarea serviciului de transport public încredințat;</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Activități de spălătorie a autovehiculelor;</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transporturi terestre de călători, ocazionale;</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Închirieri de spații către terți;</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Activități de publicitate;</w:t>
      </w:r>
    </w:p>
    <w:p>
      <w:pPr>
        <w:pStyle w:val="BodyText1"/>
        <w:numPr>
          <w:ilvl w:val="1"/>
          <w:numId w:val="17"/>
        </w:numPr>
        <w:tabs>
          <w:tab w:val="clear" w:pos="708"/>
          <w:tab w:val="left" w:pos="810" w:leader="none"/>
        </w:tabs>
        <w:spacing w:lineRule="auto" w:line="276" w:before="0" w:after="120"/>
        <w:ind w:left="360" w:hanging="360"/>
        <w:jc w:val="both"/>
        <w:rPr>
          <w:rFonts w:ascii="Arial" w:hAnsi="Arial" w:cs="Arial"/>
        </w:rPr>
      </w:pPr>
      <w:r>
        <w:rPr>
          <w:rStyle w:val="Bodytext"/>
          <w:rFonts w:eastAsia="Courier New" w:cs="Arial" w:ascii="Arial" w:hAnsi="Arial"/>
          <w:color w:val="auto"/>
        </w:rPr>
        <w:t>Întreținerea și repararea autovehiculelor.</w:t>
      </w:r>
    </w:p>
    <w:p>
      <w:pPr>
        <w:pStyle w:val="Normal"/>
        <w:jc w:val="both"/>
        <w:rPr>
          <w:rFonts w:ascii="Arial" w:hAnsi="Arial" w:cs="Arial"/>
          <w:bCs/>
          <w:sz w:val="24"/>
          <w:szCs w:val="24"/>
        </w:rPr>
      </w:pPr>
      <w:r>
        <w:rPr>
          <w:rFonts w:cs="Arial" w:ascii="Arial" w:hAnsi="Arial"/>
          <w:bCs/>
          <w:sz w:val="24"/>
          <w:szCs w:val="24"/>
        </w:rPr>
        <w:t>Societatea TRANSPORT PUBLIC S.A. are în exploatare mijloace fixe, necesare efectuării activității de transport public, după cum urmează:</w:t>
      </w:r>
    </w:p>
    <w:p>
      <w:pPr>
        <w:pStyle w:val="ListParagraph"/>
        <w:numPr>
          <w:ilvl w:val="0"/>
          <w:numId w:val="8"/>
        </w:numPr>
        <w:jc w:val="both"/>
        <w:rPr>
          <w:rFonts w:ascii="Arial" w:hAnsi="Arial" w:cs="Arial"/>
          <w:bCs/>
          <w:sz w:val="24"/>
          <w:szCs w:val="24"/>
        </w:rPr>
      </w:pPr>
      <w:r>
        <w:rPr>
          <w:rFonts w:cs="Arial" w:ascii="Arial" w:hAnsi="Arial"/>
          <w:bCs/>
          <w:sz w:val="24"/>
          <w:szCs w:val="24"/>
        </w:rPr>
        <w:t>Autobuze electrice cu o capacitate de aprox. 70 călători: 30 buc., proprietate a U.A.T. Muncipiul Tulcea.</w:t>
      </w:r>
    </w:p>
    <w:p>
      <w:pPr>
        <w:pStyle w:val="ListParagraph"/>
        <w:numPr>
          <w:ilvl w:val="0"/>
          <w:numId w:val="8"/>
        </w:numPr>
        <w:jc w:val="both"/>
        <w:rPr>
          <w:rFonts w:ascii="Arial" w:hAnsi="Arial" w:cs="Arial"/>
          <w:bCs/>
          <w:sz w:val="24"/>
          <w:szCs w:val="24"/>
        </w:rPr>
      </w:pPr>
      <w:r>
        <w:rPr>
          <w:rFonts w:cs="Arial" w:ascii="Arial" w:hAnsi="Arial"/>
          <w:bCs/>
          <w:sz w:val="24"/>
          <w:szCs w:val="24"/>
        </w:rPr>
        <w:t>Autobuze cu motorizare diesel, cu o capacitate ce variază între 55 – 108 călători: 20 buc., proprietate atât a U.A.T. Tulcea cât și a societății.</w:t>
      </w:r>
    </w:p>
    <w:p>
      <w:pPr>
        <w:pStyle w:val="ListParagraph"/>
        <w:numPr>
          <w:ilvl w:val="0"/>
          <w:numId w:val="8"/>
        </w:numPr>
        <w:jc w:val="both"/>
        <w:rPr>
          <w:rFonts w:ascii="Arial" w:hAnsi="Arial" w:cs="Arial"/>
          <w:bCs/>
          <w:sz w:val="24"/>
          <w:szCs w:val="24"/>
        </w:rPr>
      </w:pPr>
      <w:r>
        <w:rPr>
          <w:rFonts w:cs="Arial" w:ascii="Arial" w:hAnsi="Arial"/>
          <w:bCs/>
          <w:sz w:val="24"/>
          <w:szCs w:val="24"/>
        </w:rPr>
        <w:t>Stații de încărcare lentă pentru autobuzele electrice: 10 buc. la sediul societății.</w:t>
      </w:r>
    </w:p>
    <w:p>
      <w:pPr>
        <w:pStyle w:val="ListParagraph"/>
        <w:numPr>
          <w:ilvl w:val="0"/>
          <w:numId w:val="8"/>
        </w:numPr>
        <w:jc w:val="both"/>
        <w:rPr>
          <w:rFonts w:ascii="Arial" w:hAnsi="Arial" w:cs="Arial"/>
          <w:bCs/>
          <w:sz w:val="24"/>
          <w:szCs w:val="24"/>
        </w:rPr>
      </w:pPr>
      <w:r>
        <w:rPr>
          <w:rFonts w:cs="Arial" w:ascii="Arial" w:hAnsi="Arial"/>
          <w:bCs/>
          <w:sz w:val="24"/>
          <w:szCs w:val="24"/>
        </w:rPr>
        <w:t>Stații de încărcare rapidă pentru autobuzele electrice: 3 buc. montate în diverse puncte ale municipiului.</w:t>
      </w:r>
    </w:p>
    <w:p>
      <w:pPr>
        <w:pStyle w:val="ListParagraph"/>
        <w:numPr>
          <w:ilvl w:val="0"/>
          <w:numId w:val="8"/>
        </w:numPr>
        <w:jc w:val="both"/>
        <w:rPr>
          <w:rFonts w:ascii="Arial" w:hAnsi="Arial" w:cs="Arial"/>
          <w:bCs/>
          <w:sz w:val="24"/>
          <w:szCs w:val="24"/>
        </w:rPr>
      </w:pPr>
      <w:r>
        <w:rPr>
          <w:rFonts w:cs="Arial" w:ascii="Arial" w:hAnsi="Arial"/>
          <w:bCs/>
          <w:sz w:val="24"/>
          <w:szCs w:val="24"/>
        </w:rPr>
        <w:t>Depou, atelier reparații, clădire sediu, teren de garare, situate la sediul societății din municipiul Tulcea, str. Energiei, nr.14, județ Tulcea.</w:t>
      </w:r>
    </w:p>
    <w:p>
      <w:pPr>
        <w:pStyle w:val="Normal"/>
        <w:jc w:val="both"/>
        <w:rPr>
          <w:rFonts w:ascii="Arial" w:hAnsi="Arial" w:cs="Arial"/>
          <w:bCs/>
          <w:sz w:val="24"/>
          <w:szCs w:val="24"/>
        </w:rPr>
      </w:pPr>
      <w:r>
        <w:rPr>
          <w:rFonts w:cs="Arial" w:ascii="Arial" w:hAnsi="Arial"/>
          <w:bCs/>
          <w:sz w:val="24"/>
          <w:szCs w:val="24"/>
        </w:rPr>
        <w:t>Desfășurarea tuturor categoriilor de activități ale Societății se face pe baza autorizațiilor, avizelor și aprobărilor prevăzute de lege cu încadrarea în standardele de calitate, respectarea normelor igienico-sanitare, de protecție a muncii, paza contra incendiilor, păstrarea calității mediului înconjurător și a normelor privind dreptul de proprietate intelectuală.</w:t>
      </w:r>
    </w:p>
    <w:p>
      <w:pPr>
        <w:pStyle w:val="ListParagraph"/>
        <w:ind w:left="705" w:hanging="0"/>
        <w:jc w:val="both"/>
        <w:rPr>
          <w:rFonts w:ascii="Arial" w:hAnsi="Arial" w:cs="Arial"/>
        </w:rPr>
      </w:pPr>
      <w:r>
        <w:rPr>
          <w:rFonts w:cs="Arial" w:ascii="Arial" w:hAnsi="Arial"/>
        </w:rPr>
      </w:r>
    </w:p>
    <w:p>
      <w:pPr>
        <w:pStyle w:val="Heading2"/>
        <w:numPr>
          <w:ilvl w:val="1"/>
          <w:numId w:val="14"/>
        </w:numPr>
        <w:ind w:left="630" w:hanging="630"/>
        <w:jc w:val="both"/>
        <w:rPr>
          <w:rFonts w:ascii="Arial" w:hAnsi="Arial" w:cs="Arial"/>
          <w:b/>
          <w:b/>
          <w:bCs/>
        </w:rPr>
      </w:pPr>
      <w:bookmarkStart w:id="7" w:name="_Toc193471047"/>
      <w:r>
        <w:rPr>
          <w:rFonts w:cs="Arial" w:ascii="Arial" w:hAnsi="Arial"/>
          <w:b/>
          <w:bCs/>
        </w:rPr>
        <w:t>Forma juridică de organizare a întreprinderii publice, cu încadrarea întreprinderii publice în una dintre categoriile: comercial, de monopol reglementat sau serviciu public (la un cost acceptabil)</w:t>
      </w:r>
      <w:bookmarkEnd w:id="7"/>
    </w:p>
    <w:p>
      <w:pPr>
        <w:pStyle w:val="Normal"/>
        <w:jc w:val="both"/>
        <w:rPr/>
      </w:pPr>
      <w:r>
        <w:rPr/>
      </w:r>
    </w:p>
    <w:p>
      <w:pPr>
        <w:pStyle w:val="Normal"/>
        <w:jc w:val="both"/>
        <w:rPr>
          <w:rFonts w:ascii="Arial" w:hAnsi="Arial" w:cs="Arial"/>
          <w:sz w:val="24"/>
          <w:szCs w:val="24"/>
        </w:rPr>
      </w:pPr>
      <w:r>
        <w:rPr>
          <w:rFonts w:cs="Arial" w:ascii="Arial" w:hAnsi="Arial"/>
          <w:sz w:val="24"/>
          <w:szCs w:val="24"/>
        </w:rPr>
        <w:t>Societatea TRANSPORT PUBLIC S.A. se încadrează în categoria societăților comerciale a căror organizare și funcționare este reglementată de Ordonanța de Urgență a Guvernului nr. 109/2011, privind guvernanța corporativă a întreprinderilor publice și unde aceasta nu dispune, de dispozițiile Legii nr. 31/1990, republicată, cu modificările și completările ulterioare.</w:t>
      </w:r>
    </w:p>
    <w:p>
      <w:pPr>
        <w:pStyle w:val="Normal"/>
        <w:jc w:val="both"/>
        <w:rPr>
          <w:rFonts w:ascii="Arial" w:hAnsi="Arial" w:cs="Arial"/>
          <w:sz w:val="24"/>
          <w:szCs w:val="24"/>
        </w:rPr>
      </w:pPr>
      <w:r>
        <w:rPr>
          <w:rFonts w:cs="Arial" w:ascii="Arial" w:hAnsi="Arial"/>
          <w:sz w:val="24"/>
          <w:szCs w:val="24"/>
          <w:lang w:eastAsia="ro-RO" w:bidi="ro-RO"/>
        </w:rPr>
        <w:t xml:space="preserve">Conform prevederilor </w:t>
      </w:r>
      <w:r>
        <w:rPr>
          <w:rFonts w:cs="Arial" w:ascii="Arial" w:hAnsi="Arial"/>
          <w:sz w:val="24"/>
          <w:szCs w:val="24"/>
          <w:lang w:bidi="en-US"/>
        </w:rPr>
        <w:t xml:space="preserve">art. </w:t>
      </w:r>
      <w:r>
        <w:rPr>
          <w:rFonts w:cs="Arial" w:ascii="Arial" w:hAnsi="Arial"/>
          <w:sz w:val="24"/>
          <w:szCs w:val="24"/>
          <w:lang w:eastAsia="ro-RO" w:bidi="ro-RO"/>
        </w:rPr>
        <w:t>1 alin. 4 din Legea serviciilor comunitare de utilități publice nr. 51/2006, republicată, cu modificările și completările ulterioare</w:t>
      </w:r>
      <w:r>
        <w:rPr>
          <w:rFonts w:cs="Arial" w:ascii="Arial" w:hAnsi="Arial"/>
          <w:i/>
          <w:iCs/>
          <w:sz w:val="24"/>
          <w:szCs w:val="24"/>
          <w:lang w:eastAsia="ro-RO" w:bidi="ro-RO"/>
        </w:rPr>
        <w:t xml:space="preserve">, </w:t>
      </w:r>
      <w:r>
        <w:rPr>
          <w:rFonts w:cs="Arial" w:ascii="Arial" w:hAnsi="Arial"/>
          <w:sz w:val="24"/>
          <w:szCs w:val="24"/>
          <w:lang w:eastAsia="ro-RO" w:bidi="ro-RO"/>
        </w:rPr>
        <w:t xml:space="preserve">serviciul </w:t>
      </w:r>
      <w:r>
        <w:rPr>
          <w:rFonts w:cs="Arial" w:ascii="Arial" w:hAnsi="Arial"/>
          <w:sz w:val="24"/>
          <w:szCs w:val="24"/>
          <w:lang w:eastAsia="ro-RO" w:bidi="ro-RO"/>
        </w:rPr>
        <w:t xml:space="preserve">de transport public </w:t>
      </w:r>
      <w:r>
        <w:rPr>
          <w:rFonts w:cs="Arial" w:ascii="Arial" w:hAnsi="Arial"/>
          <w:sz w:val="24"/>
          <w:szCs w:val="24"/>
          <w:lang w:eastAsia="ro-RO" w:bidi="ro-RO"/>
        </w:rPr>
        <w:t xml:space="preserve"> </w:t>
      </w:r>
      <w:r>
        <w:rPr>
          <w:rFonts w:cs="Arial" w:ascii="Arial" w:hAnsi="Arial"/>
          <w:sz w:val="24"/>
          <w:szCs w:val="24"/>
          <w:lang w:eastAsia="ro-RO" w:bidi="ro-RO"/>
        </w:rPr>
        <w:t xml:space="preserve">local </w:t>
      </w:r>
      <w:r>
        <w:rPr>
          <w:rFonts w:cs="Arial" w:ascii="Arial" w:hAnsi="Arial"/>
          <w:sz w:val="24"/>
          <w:szCs w:val="24"/>
          <w:lang w:eastAsia="ro-RO" w:bidi="ro-RO"/>
        </w:rPr>
        <w:t xml:space="preserve"> este definit ca un </w:t>
      </w:r>
      <w:r>
        <w:rPr>
          <w:rFonts w:cs="Arial" w:ascii="Arial" w:hAnsi="Arial"/>
          <w:bCs/>
          <w:sz w:val="24"/>
          <w:szCs w:val="24"/>
          <w:lang w:eastAsia="ro-RO" w:bidi="ro-RO"/>
        </w:rPr>
        <w:t>serviciu public în scopul asigurării unui nivel ridicat al calității, siguranței și accesibilității, egalității de tratament, promovării accesului universal și a drepturilor utilizatorilor, cu următoarele particularități:</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a) are caracter economico-social;</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b) răspunde unor cerințe și necesități de interes și utilitate publică;</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c) are caracter tehnico-edilitar;</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d) are caracter permanent și regim de funcționare continuu;</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e) regimul de funcționare poate avea caracteristici de monopol;</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f) presupune existența unei infrastructuri tehnico-edilitare adecvate;</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g) aria de acoperire are dimensiuni locale: comunale, orășenești, municipale sau județene;</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h) este în responsabilitatea autorităților administrației publice locale;</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i) este organizat pe principii economice și de eficiență în condiții care să îi permită să își îndeplinească misiunile și obligațiile specifice de serviciu public;</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j) modalitatea de gestiune este stabilită prin hotărâri ale autorităților deliberative ale administrației publice locale;</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k) este furnizat/prestat pe baza principiului "beneficiarul plătește";</w:t>
      </w:r>
    </w:p>
    <w:p>
      <w:pPr>
        <w:pStyle w:val="Normal"/>
        <w:widowControl w:val="false"/>
        <w:suppressAutoHyphens w:val="true"/>
        <w:ind w:firstLine="360"/>
        <w:jc w:val="both"/>
        <w:rPr>
          <w:rFonts w:ascii="Arial" w:hAnsi="Arial" w:cs="Arial"/>
          <w:sz w:val="24"/>
          <w:szCs w:val="24"/>
        </w:rPr>
      </w:pPr>
      <w:r>
        <w:rPr>
          <w:rFonts w:cs="Arial" w:ascii="Arial" w:hAnsi="Arial"/>
          <w:sz w:val="24"/>
          <w:szCs w:val="24"/>
        </w:rPr>
        <w:t>l) recuperarea costurilor de exploatare și de investiție se face prin prețuri și tarife sau taxe și, după caz, din alocații bugetare. Măsura poate implica elemente de natura ajutorului de stat, situație în care autoritățile administrației publice locale solicită avizul Consiliului Concurenței.</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 xml:space="preserve">Pentru efectuarea obligațiilor de serviciu public, Autoritatea Contractantă plătește Operatorului, o Compensație. Conform pct. 9.4. din Contractul nr. 34606/01.11.2019, </w:t>
      </w:r>
      <w:r>
        <w:rPr>
          <w:rStyle w:val="Bodytext"/>
          <w:rFonts w:eastAsia="Courier New" w:cs="Arial" w:ascii="Arial" w:hAnsi="Arial"/>
          <w:iCs/>
          <w:color w:val="auto"/>
        </w:rPr>
        <w:t xml:space="preserve">”Compensația va fi plătită în baza Raportului lunar de constatare întocmit de către Operator până la data de 20 a lunii următoare celei pentru care se plătește Compensația, potrivit Anexei 8.1 la prezentul Contract și a facturii emise de Operator în baza Raporului lunar de constatare. Raportul lunar de constatare întocmit de Operator va fi agreat și semnat de Autoritatea Contractantă până la data de 15 a lunii următoare celei pentru care se plătește Compensația”. </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În conformitate cu dispozițiile pct. 14.2.1 din Contractul nr. 34606/01.11.2019, ”</w:t>
      </w:r>
      <w:r>
        <w:rPr>
          <w:rStyle w:val="Bodytext"/>
          <w:rFonts w:eastAsia="Courier New" w:cs="Arial" w:ascii="Arial" w:hAnsi="Arial"/>
          <w:iCs/>
          <w:color w:val="auto"/>
        </w:rPr>
        <w:t>Autoritatea Contractantă are dreptul să verifice şi să controleze periodic modul de realizare a Serviciului de transport public local și de îndeplinire a Obligațiilor de serviciu public de către Operator, inclusiv a vehiculelor, echipamentelor și instalațiilor folosite de Operator, în prezenţa unui reprezentant al acestuia”</w:t>
      </w:r>
      <w:r>
        <w:rPr>
          <w:rStyle w:val="Bodytext"/>
          <w:rFonts w:eastAsia="Courier New" w:cs="Arial" w:ascii="Arial" w:hAnsi="Arial"/>
          <w:color w:val="auto"/>
        </w:rPr>
        <w:t>.</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Societatea are dreptul la diferențe de tarif și la plata compensației din partea Autorității Contractante, în termenii și condițiile prevazute în baza contractului de delegare .</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Societatea Transport Public S.A. Tulcea are obligația de a îndeplini serviciul de transport public local cu respectarea obligațiilor de serviciul public, respectiv:</w:t>
      </w:r>
    </w:p>
    <w:p>
      <w:pPr>
        <w:pStyle w:val="BodyText1"/>
        <w:spacing w:lineRule="auto" w:line="276" w:before="0" w:after="120"/>
        <w:ind w:firstLine="360"/>
        <w:jc w:val="both"/>
        <w:rPr>
          <w:rFonts w:ascii="Arial" w:hAnsi="Arial" w:cs="Arial"/>
        </w:rPr>
      </w:pPr>
      <w:r>
        <w:rPr>
          <w:rStyle w:val="Bodytext"/>
          <w:rFonts w:eastAsia="Courier New" w:cs="Arial" w:ascii="Arial" w:hAnsi="Arial"/>
          <w:color w:val="auto"/>
        </w:rPr>
        <w:t>* va aplica tarifele de călătorie aprobate de Autoritatea Contractantă – Municipiul Tulcea și va furniza servicii de transport pentru grupuri sociale de călători care pot beneficia de reduceri / gratuități în conformitate cu politicile naționale de transport din România și cu cerințele și reglementările legale, precum și în conformitate cu Hotărârile Consiliului Local;</w:t>
      </w:r>
    </w:p>
    <w:p>
      <w:pPr>
        <w:pStyle w:val="BodyText1"/>
        <w:spacing w:lineRule="auto" w:line="276" w:before="0" w:after="120"/>
        <w:ind w:firstLine="360"/>
        <w:jc w:val="both"/>
        <w:rPr>
          <w:rFonts w:ascii="Arial" w:hAnsi="Arial" w:cs="Arial"/>
        </w:rPr>
      </w:pPr>
      <w:r>
        <w:rPr>
          <w:rStyle w:val="Bodytext"/>
          <w:rFonts w:eastAsia="Courier New" w:cs="Arial" w:ascii="Arial" w:hAnsi="Arial"/>
          <w:color w:val="auto"/>
        </w:rPr>
        <w:t>* va presta serviciul de transport public local în conformitate cu principiile continuității, frecvenței, regularității și capacității prevăzute în programul de transport;</w:t>
      </w:r>
    </w:p>
    <w:p>
      <w:pPr>
        <w:pStyle w:val="BodyText1"/>
        <w:spacing w:lineRule="auto" w:line="276" w:before="0" w:after="120"/>
        <w:ind w:firstLine="360"/>
        <w:jc w:val="both"/>
        <w:rPr>
          <w:rFonts w:ascii="Arial" w:hAnsi="Arial" w:cs="Arial"/>
        </w:rPr>
      </w:pPr>
      <w:r>
        <w:rPr>
          <w:rStyle w:val="Bodytext"/>
          <w:rFonts w:eastAsia="Courier New" w:cs="Arial" w:ascii="Arial" w:hAnsi="Arial"/>
          <w:color w:val="auto"/>
        </w:rPr>
        <w:t>* va presta serviciul de transport public local în conformitate cu indicatorii de calitate și obligațiile prevăzute în contractul de delegare;</w:t>
      </w:r>
    </w:p>
    <w:p>
      <w:pPr>
        <w:pStyle w:val="BodyText1"/>
        <w:spacing w:lineRule="auto" w:line="276" w:before="0" w:after="120"/>
        <w:ind w:firstLine="360"/>
        <w:jc w:val="both"/>
        <w:rPr>
          <w:rFonts w:ascii="Arial" w:hAnsi="Arial" w:cs="Arial"/>
        </w:rPr>
      </w:pPr>
      <w:r>
        <w:rPr>
          <w:rStyle w:val="Bodytext"/>
          <w:rFonts w:eastAsia="Courier New" w:cs="Arial" w:ascii="Arial" w:hAnsi="Arial"/>
          <w:color w:val="auto"/>
        </w:rPr>
        <w:t>* va respecta standardele și cerințele de siguranța și securitate prevăzute în contract și în legislația europeana și naționala;</w:t>
      </w:r>
    </w:p>
    <w:p>
      <w:pPr>
        <w:pStyle w:val="BodyText1"/>
        <w:spacing w:lineRule="auto" w:line="276" w:before="0" w:after="120"/>
        <w:ind w:firstLine="360"/>
        <w:jc w:val="both"/>
        <w:rPr>
          <w:rFonts w:ascii="Arial" w:hAnsi="Arial" w:cs="Arial"/>
        </w:rPr>
      </w:pPr>
      <w:r>
        <w:rPr>
          <w:rStyle w:val="Bodytext"/>
          <w:rFonts w:eastAsia="Courier New" w:cs="Arial" w:ascii="Arial" w:hAnsi="Arial"/>
          <w:color w:val="auto"/>
        </w:rPr>
        <w:t>* va întocmi un Program Anual de întreținere și reparare a infrastructurii de transport, cu scopul de a asigura menținerea infrastructurii de transport într-o condiție tehnică optima;</w:t>
      </w:r>
    </w:p>
    <w:p>
      <w:pPr>
        <w:pStyle w:val="BodyText1"/>
        <w:spacing w:lineRule="auto" w:line="276" w:before="0" w:after="120"/>
        <w:ind w:firstLine="360"/>
        <w:jc w:val="both"/>
        <w:rPr>
          <w:rFonts w:ascii="Arial" w:hAnsi="Arial" w:cs="Arial"/>
        </w:rPr>
      </w:pPr>
      <w:r>
        <w:rPr>
          <w:rStyle w:val="Bodytext"/>
          <w:rFonts w:eastAsia="Courier New" w:cs="Arial" w:ascii="Arial" w:hAnsi="Arial"/>
          <w:color w:val="auto"/>
        </w:rPr>
        <w:t>* va întocmi un Plan de marketing anual pentru a promova utilizarea serviciului de transport public local, cu scopul de a crește utilizarea serviciului de transport public local și a îmbunătăți gradul de satisfacție a călătorilor.</w:t>
      </w:r>
    </w:p>
    <w:p>
      <w:pPr>
        <w:pStyle w:val="Normal"/>
        <w:jc w:val="both"/>
        <w:rPr>
          <w:rFonts w:ascii="Arial" w:hAnsi="Arial" w:cs="Arial"/>
        </w:rPr>
      </w:pPr>
      <w:r>
        <w:rPr>
          <w:rFonts w:cs="Arial" w:ascii="Arial" w:hAnsi="Arial"/>
        </w:rPr>
      </w:r>
    </w:p>
    <w:p>
      <w:pPr>
        <w:pStyle w:val="Heading2"/>
        <w:numPr>
          <w:ilvl w:val="1"/>
          <w:numId w:val="14"/>
        </w:numPr>
        <w:ind w:left="630" w:hanging="630"/>
        <w:jc w:val="both"/>
        <w:rPr>
          <w:rFonts w:ascii="Arial" w:hAnsi="Arial" w:cs="Arial"/>
          <w:b/>
          <w:b/>
          <w:bCs/>
        </w:rPr>
      </w:pPr>
      <w:bookmarkStart w:id="8" w:name="_Toc193471048"/>
      <w:r>
        <w:rPr>
          <w:rFonts w:cs="Arial" w:ascii="Arial" w:hAnsi="Arial"/>
          <w:b/>
          <w:bCs/>
        </w:rPr>
        <w:t>Structura acţionariatului</w:t>
      </w:r>
      <w:bookmarkEnd w:id="8"/>
      <w:r>
        <w:rPr>
          <w:rFonts w:cs="Arial" w:ascii="Arial" w:hAnsi="Arial"/>
          <w:b/>
          <w:bCs/>
        </w:rPr>
        <w:t xml:space="preserve"> </w:t>
      </w:r>
    </w:p>
    <w:p>
      <w:pPr>
        <w:pStyle w:val="Normal"/>
        <w:jc w:val="both"/>
        <w:rPr/>
      </w:pPr>
      <w:r>
        <w:rPr/>
      </w:r>
    </w:p>
    <w:p>
      <w:pPr>
        <w:pStyle w:val="Normal"/>
        <w:jc w:val="both"/>
        <w:rPr>
          <w:rFonts w:ascii="Arial" w:hAnsi="Arial" w:cs="Arial"/>
          <w:sz w:val="24"/>
          <w:szCs w:val="24"/>
        </w:rPr>
      </w:pPr>
      <w:r>
        <w:rPr>
          <w:rFonts w:cs="Arial" w:ascii="Arial" w:hAnsi="Arial"/>
          <w:sz w:val="24"/>
          <w:szCs w:val="24"/>
        </w:rPr>
        <w:t>Acționari ai TRANSPORT PUBLIC S.A. Tulcea:</w:t>
      </w:r>
    </w:p>
    <w:p>
      <w:pPr>
        <w:pStyle w:val="ListParagraph"/>
        <w:numPr>
          <w:ilvl w:val="0"/>
          <w:numId w:val="12"/>
        </w:numPr>
        <w:jc w:val="both"/>
        <w:rPr>
          <w:rFonts w:ascii="Arial" w:hAnsi="Arial" w:cs="Arial"/>
          <w:sz w:val="24"/>
          <w:szCs w:val="24"/>
        </w:rPr>
      </w:pPr>
      <w:r>
        <w:rPr>
          <w:rFonts w:cs="Arial" w:ascii="Arial" w:hAnsi="Arial"/>
          <w:sz w:val="24"/>
          <w:szCs w:val="24"/>
        </w:rPr>
        <w:t>Municipiul Tulcea, cu sediul în municipiul Tulcea, str. Păcii nr. 20,</w:t>
      </w:r>
    </w:p>
    <w:p>
      <w:pPr>
        <w:pStyle w:val="ListParagraph"/>
        <w:numPr>
          <w:ilvl w:val="0"/>
          <w:numId w:val="12"/>
        </w:numPr>
        <w:jc w:val="both"/>
        <w:rPr>
          <w:rFonts w:ascii="Arial" w:hAnsi="Arial" w:cs="Arial"/>
          <w:sz w:val="24"/>
          <w:szCs w:val="24"/>
        </w:rPr>
      </w:pPr>
      <w:r>
        <w:rPr>
          <w:rFonts w:cs="Arial" w:ascii="Arial" w:hAnsi="Arial"/>
          <w:bCs/>
          <w:sz w:val="24"/>
          <w:szCs w:val="24"/>
        </w:rPr>
        <w:t>Societatea Energoterm S.A. Tulcea, str. Isaccei, nr. 73.</w:t>
      </w:r>
    </w:p>
    <w:p>
      <w:pPr>
        <w:pStyle w:val="Normal"/>
        <w:jc w:val="both"/>
        <w:rPr>
          <w:rFonts w:ascii="Arial" w:hAnsi="Arial" w:cs="Arial"/>
          <w:sz w:val="24"/>
          <w:szCs w:val="24"/>
        </w:rPr>
      </w:pPr>
      <w:r>
        <w:rPr>
          <w:rFonts w:eastAsia="Arial" w:cs="Arial" w:ascii="Arial" w:hAnsi="Arial"/>
          <w:sz w:val="24"/>
          <w:szCs w:val="24"/>
        </w:rPr>
        <w:t>C</w:t>
      </w:r>
      <w:r>
        <w:rPr>
          <w:rFonts w:eastAsia="Arial" w:cs="Arial" w:ascii="Arial" w:hAnsi="Arial"/>
          <w:spacing w:val="4"/>
          <w:sz w:val="24"/>
          <w:szCs w:val="24"/>
        </w:rPr>
        <w:t>a</w:t>
      </w:r>
      <w:r>
        <w:rPr>
          <w:rFonts w:eastAsia="Arial" w:cs="Arial" w:ascii="Arial" w:hAnsi="Arial"/>
          <w:spacing w:val="-2"/>
          <w:sz w:val="24"/>
          <w:szCs w:val="24"/>
        </w:rPr>
        <w:t>p</w:t>
      </w:r>
      <w:r>
        <w:rPr>
          <w:rFonts w:eastAsia="Arial" w:cs="Arial" w:ascii="Arial" w:hAnsi="Arial"/>
          <w:spacing w:val="4"/>
          <w:sz w:val="24"/>
          <w:szCs w:val="24"/>
        </w:rPr>
        <w:t>i</w:t>
      </w:r>
      <w:r>
        <w:rPr>
          <w:rFonts w:eastAsia="Arial" w:cs="Arial" w:ascii="Arial" w:hAnsi="Arial"/>
          <w:spacing w:val="-1"/>
          <w:sz w:val="24"/>
          <w:szCs w:val="24"/>
        </w:rPr>
        <w:t>ta</w:t>
      </w:r>
      <w:r>
        <w:rPr>
          <w:rFonts w:eastAsia="Arial" w:cs="Arial" w:ascii="Arial" w:hAnsi="Arial"/>
          <w:spacing w:val="4"/>
          <w:sz w:val="24"/>
          <w:szCs w:val="24"/>
        </w:rPr>
        <w:t>l</w:t>
      </w:r>
      <w:r>
        <w:rPr>
          <w:rFonts w:eastAsia="Arial" w:cs="Arial" w:ascii="Arial" w:hAnsi="Arial"/>
          <w:spacing w:val="-2"/>
          <w:sz w:val="24"/>
          <w:szCs w:val="24"/>
        </w:rPr>
        <w:t>u</w:t>
      </w:r>
      <w:r>
        <w:rPr>
          <w:rFonts w:eastAsia="Arial" w:cs="Arial" w:ascii="Arial" w:hAnsi="Arial"/>
          <w:sz w:val="24"/>
          <w:szCs w:val="24"/>
        </w:rPr>
        <w:t>l</w:t>
      </w:r>
      <w:r>
        <w:rPr>
          <w:rFonts w:eastAsia="Arial" w:cs="Arial" w:ascii="Arial" w:hAnsi="Arial"/>
          <w:spacing w:val="5"/>
          <w:sz w:val="24"/>
          <w:szCs w:val="24"/>
        </w:rPr>
        <w:t xml:space="preserve"> </w:t>
      </w:r>
      <w:r>
        <w:rPr>
          <w:rFonts w:eastAsia="Arial" w:cs="Arial" w:ascii="Arial" w:hAnsi="Arial"/>
          <w:spacing w:val="3"/>
          <w:sz w:val="24"/>
          <w:szCs w:val="24"/>
        </w:rPr>
        <w:t>s</w:t>
      </w:r>
      <w:r>
        <w:rPr>
          <w:rFonts w:eastAsia="Arial" w:cs="Arial" w:ascii="Arial" w:hAnsi="Arial"/>
          <w:spacing w:val="-2"/>
          <w:sz w:val="24"/>
          <w:szCs w:val="24"/>
        </w:rPr>
        <w:t>o</w:t>
      </w:r>
      <w:r>
        <w:rPr>
          <w:rFonts w:eastAsia="Arial" w:cs="Arial" w:ascii="Arial" w:hAnsi="Arial"/>
          <w:spacing w:val="-1"/>
          <w:sz w:val="24"/>
          <w:szCs w:val="24"/>
        </w:rPr>
        <w:t>c</w:t>
      </w:r>
      <w:r>
        <w:rPr>
          <w:rFonts w:eastAsia="Arial" w:cs="Arial" w:ascii="Arial" w:hAnsi="Arial"/>
          <w:spacing w:val="4"/>
          <w:sz w:val="24"/>
          <w:szCs w:val="24"/>
        </w:rPr>
        <w:t>i</w:t>
      </w:r>
      <w:r>
        <w:rPr>
          <w:rFonts w:eastAsia="Arial" w:cs="Arial" w:ascii="Arial" w:hAnsi="Arial"/>
          <w:spacing w:val="-1"/>
          <w:sz w:val="24"/>
          <w:szCs w:val="24"/>
        </w:rPr>
        <w:t>a</w:t>
      </w:r>
      <w:r>
        <w:rPr>
          <w:rFonts w:eastAsia="Arial" w:cs="Arial" w:ascii="Arial" w:hAnsi="Arial"/>
          <w:sz w:val="24"/>
          <w:szCs w:val="24"/>
        </w:rPr>
        <w:t>l</w:t>
      </w:r>
      <w:r>
        <w:rPr>
          <w:rFonts w:eastAsia="Arial" w:cs="Arial" w:ascii="Arial" w:hAnsi="Arial"/>
          <w:spacing w:val="11"/>
          <w:sz w:val="24"/>
          <w:szCs w:val="24"/>
        </w:rPr>
        <w:t xml:space="preserve"> </w:t>
      </w:r>
      <w:r>
        <w:rPr>
          <w:rFonts w:eastAsia="Arial" w:cs="Arial" w:ascii="Arial" w:hAnsi="Arial"/>
          <w:spacing w:val="3"/>
          <w:sz w:val="24"/>
          <w:szCs w:val="24"/>
        </w:rPr>
        <w:t>s</w:t>
      </w:r>
      <w:r>
        <w:rPr>
          <w:rFonts w:eastAsia="Arial" w:cs="Arial" w:ascii="Arial" w:hAnsi="Arial"/>
          <w:spacing w:val="-2"/>
          <w:sz w:val="24"/>
          <w:szCs w:val="24"/>
        </w:rPr>
        <w:t>u</w:t>
      </w:r>
      <w:r>
        <w:rPr>
          <w:rFonts w:eastAsia="Arial" w:cs="Arial" w:ascii="Arial" w:hAnsi="Arial"/>
          <w:spacing w:val="3"/>
          <w:sz w:val="24"/>
          <w:szCs w:val="24"/>
        </w:rPr>
        <w:t>b</w:t>
      </w:r>
      <w:r>
        <w:rPr>
          <w:rFonts w:eastAsia="Arial" w:cs="Arial" w:ascii="Arial" w:hAnsi="Arial"/>
          <w:spacing w:val="-1"/>
          <w:sz w:val="24"/>
          <w:szCs w:val="24"/>
        </w:rPr>
        <w:t>sc</w:t>
      </w:r>
      <w:r>
        <w:rPr>
          <w:rFonts w:eastAsia="Arial" w:cs="Arial" w:ascii="Arial" w:hAnsi="Arial"/>
          <w:spacing w:val="2"/>
          <w:sz w:val="24"/>
          <w:szCs w:val="24"/>
        </w:rPr>
        <w:t>r</w:t>
      </w:r>
      <w:r>
        <w:rPr>
          <w:rFonts w:eastAsia="Arial" w:cs="Arial" w:ascii="Arial" w:hAnsi="Arial"/>
          <w:spacing w:val="4"/>
          <w:sz w:val="24"/>
          <w:szCs w:val="24"/>
        </w:rPr>
        <w:t>i</w:t>
      </w:r>
      <w:r>
        <w:rPr>
          <w:rFonts w:eastAsia="Arial" w:cs="Arial" w:ascii="Arial" w:hAnsi="Arial"/>
          <w:sz w:val="24"/>
          <w:szCs w:val="24"/>
        </w:rPr>
        <w:t>s</w:t>
      </w:r>
      <w:r>
        <w:rPr>
          <w:rFonts w:eastAsia="Arial" w:cs="Arial" w:ascii="Arial" w:hAnsi="Arial"/>
          <w:spacing w:val="5"/>
          <w:sz w:val="24"/>
          <w:szCs w:val="24"/>
        </w:rPr>
        <w:t xml:space="preserve"> </w:t>
      </w:r>
      <w:r>
        <w:rPr>
          <w:rFonts w:eastAsia="Arial" w:cs="Arial" w:ascii="Arial" w:hAnsi="Arial"/>
          <w:spacing w:val="-1"/>
          <w:sz w:val="24"/>
          <w:szCs w:val="24"/>
        </w:rPr>
        <w:t>a</w:t>
      </w:r>
      <w:r>
        <w:rPr>
          <w:rFonts w:eastAsia="Arial" w:cs="Arial" w:ascii="Arial" w:hAnsi="Arial"/>
          <w:sz w:val="24"/>
          <w:szCs w:val="24"/>
        </w:rPr>
        <w:t>l</w:t>
      </w:r>
      <w:r>
        <w:rPr>
          <w:rFonts w:eastAsia="Arial" w:cs="Arial" w:ascii="Arial" w:hAnsi="Arial"/>
          <w:spacing w:val="14"/>
          <w:sz w:val="24"/>
          <w:szCs w:val="24"/>
        </w:rPr>
        <w:t xml:space="preserve"> </w:t>
      </w:r>
      <w:r>
        <w:rPr>
          <w:rFonts w:eastAsia="Arial" w:cs="Arial" w:ascii="Arial" w:hAnsi="Arial"/>
          <w:spacing w:val="3"/>
          <w:sz w:val="24"/>
          <w:szCs w:val="24"/>
        </w:rPr>
        <w:t>s</w:t>
      </w:r>
      <w:r>
        <w:rPr>
          <w:rFonts w:eastAsia="Arial" w:cs="Arial" w:ascii="Arial" w:hAnsi="Arial"/>
          <w:spacing w:val="-2"/>
          <w:sz w:val="24"/>
          <w:szCs w:val="24"/>
        </w:rPr>
        <w:t>o</w:t>
      </w:r>
      <w:r>
        <w:rPr>
          <w:rFonts w:eastAsia="Arial" w:cs="Arial" w:ascii="Arial" w:hAnsi="Arial"/>
          <w:spacing w:val="-1"/>
          <w:sz w:val="24"/>
          <w:szCs w:val="24"/>
        </w:rPr>
        <w:t>c</w:t>
      </w:r>
      <w:r>
        <w:rPr>
          <w:rFonts w:eastAsia="Arial" w:cs="Arial" w:ascii="Arial" w:hAnsi="Arial"/>
          <w:spacing w:val="4"/>
          <w:sz w:val="24"/>
          <w:szCs w:val="24"/>
        </w:rPr>
        <w:t>i</w:t>
      </w:r>
      <w:r>
        <w:rPr>
          <w:rFonts w:eastAsia="Arial" w:cs="Arial" w:ascii="Arial" w:hAnsi="Arial"/>
          <w:spacing w:val="3"/>
          <w:sz w:val="24"/>
          <w:szCs w:val="24"/>
        </w:rPr>
        <w:t>e</w:t>
      </w:r>
      <w:r>
        <w:rPr>
          <w:rFonts w:eastAsia="Arial" w:cs="Arial" w:ascii="Arial" w:hAnsi="Arial"/>
          <w:spacing w:val="-1"/>
          <w:sz w:val="24"/>
          <w:szCs w:val="24"/>
        </w:rPr>
        <w:t>tăţ</w:t>
      </w:r>
      <w:r>
        <w:rPr>
          <w:rFonts w:eastAsia="Arial" w:cs="Arial" w:ascii="Arial" w:hAnsi="Arial"/>
          <w:spacing w:val="4"/>
          <w:sz w:val="24"/>
          <w:szCs w:val="24"/>
        </w:rPr>
        <w:t>i</w:t>
      </w:r>
      <w:r>
        <w:rPr>
          <w:rFonts w:eastAsia="Arial" w:cs="Arial" w:ascii="Arial" w:hAnsi="Arial"/>
          <w:spacing w:val="3"/>
          <w:sz w:val="24"/>
          <w:szCs w:val="24"/>
        </w:rPr>
        <w:t>i</w:t>
      </w:r>
      <w:r>
        <w:rPr>
          <w:rFonts w:eastAsia="Arial" w:cs="Arial" w:ascii="Arial" w:hAnsi="Arial"/>
          <w:sz w:val="24"/>
          <w:szCs w:val="24"/>
        </w:rPr>
        <w:t xml:space="preserve"> este în valoare de</w:t>
      </w:r>
      <w:r>
        <w:rPr>
          <w:rFonts w:eastAsia="Arial" w:cs="Arial" w:ascii="Arial" w:hAnsi="Arial"/>
          <w:spacing w:val="3"/>
          <w:sz w:val="24"/>
          <w:szCs w:val="24"/>
        </w:rPr>
        <w:t xml:space="preserve"> </w:t>
      </w:r>
      <w:r>
        <w:rPr>
          <w:rFonts w:eastAsia="Arial" w:cs="Arial" w:ascii="Arial" w:hAnsi="Arial"/>
          <w:spacing w:val="-1"/>
          <w:sz w:val="24"/>
          <w:szCs w:val="24"/>
        </w:rPr>
        <w:t>2</w:t>
      </w:r>
      <w:r>
        <w:rPr>
          <w:rFonts w:eastAsia="Arial" w:cs="Arial" w:ascii="Arial" w:hAnsi="Arial"/>
          <w:spacing w:val="4"/>
          <w:sz w:val="24"/>
          <w:szCs w:val="24"/>
        </w:rPr>
        <w:t>.708.960 lei</w:t>
      </w:r>
      <w:r>
        <w:rPr>
          <w:rFonts w:eastAsia="Arial" w:cs="Arial" w:ascii="Arial" w:hAnsi="Arial"/>
          <w:sz w:val="24"/>
          <w:szCs w:val="24"/>
        </w:rPr>
        <w:t xml:space="preserve">, </w:t>
      </w:r>
      <w:r>
        <w:rPr>
          <w:rFonts w:eastAsia="Arial" w:cs="Arial" w:ascii="Arial" w:hAnsi="Arial"/>
          <w:spacing w:val="-1"/>
          <w:sz w:val="24"/>
          <w:szCs w:val="24"/>
        </w:rPr>
        <w:t>d</w:t>
      </w:r>
      <w:r>
        <w:rPr>
          <w:rFonts w:eastAsia="Arial" w:cs="Arial" w:ascii="Arial" w:hAnsi="Arial"/>
          <w:sz w:val="24"/>
          <w:szCs w:val="24"/>
        </w:rPr>
        <w:t>iv</w:t>
      </w:r>
      <w:r>
        <w:rPr>
          <w:rFonts w:eastAsia="Arial" w:cs="Arial" w:ascii="Arial" w:hAnsi="Arial"/>
          <w:spacing w:val="6"/>
          <w:sz w:val="24"/>
          <w:szCs w:val="24"/>
        </w:rPr>
        <w:t>i</w:t>
      </w:r>
      <w:r>
        <w:rPr>
          <w:rFonts w:eastAsia="Arial" w:cs="Arial" w:ascii="Arial" w:hAnsi="Arial"/>
          <w:sz w:val="24"/>
          <w:szCs w:val="24"/>
        </w:rPr>
        <w:t>z</w:t>
      </w:r>
      <w:r>
        <w:rPr>
          <w:rFonts w:eastAsia="Arial" w:cs="Arial" w:ascii="Arial" w:hAnsi="Arial"/>
          <w:spacing w:val="-1"/>
          <w:sz w:val="24"/>
          <w:szCs w:val="24"/>
        </w:rPr>
        <w:t>a</w:t>
      </w:r>
      <w:r>
        <w:rPr>
          <w:rFonts w:eastAsia="Arial" w:cs="Arial" w:ascii="Arial" w:hAnsi="Arial"/>
          <w:sz w:val="24"/>
          <w:szCs w:val="24"/>
        </w:rPr>
        <w:t>t</w:t>
      </w:r>
      <w:r>
        <w:rPr>
          <w:rFonts w:eastAsia="Arial" w:cs="Arial" w:ascii="Arial" w:hAnsi="Arial"/>
          <w:spacing w:val="13"/>
          <w:sz w:val="24"/>
          <w:szCs w:val="24"/>
        </w:rPr>
        <w:t xml:space="preserve"> </w:t>
      </w:r>
      <w:r>
        <w:rPr>
          <w:rFonts w:eastAsia="Arial" w:cs="Arial" w:ascii="Arial" w:hAnsi="Arial"/>
          <w:spacing w:val="-5"/>
          <w:sz w:val="24"/>
          <w:szCs w:val="24"/>
        </w:rPr>
        <w:t>î</w:t>
      </w:r>
      <w:r>
        <w:rPr>
          <w:rFonts w:eastAsia="Arial" w:cs="Arial" w:ascii="Arial" w:hAnsi="Arial"/>
          <w:sz w:val="24"/>
          <w:szCs w:val="24"/>
        </w:rPr>
        <w:t>n</w:t>
      </w:r>
      <w:r>
        <w:rPr>
          <w:rFonts w:eastAsia="Arial" w:cs="Arial" w:ascii="Arial" w:hAnsi="Arial"/>
          <w:spacing w:val="20"/>
          <w:sz w:val="24"/>
          <w:szCs w:val="24"/>
        </w:rPr>
        <w:t xml:space="preserve"> </w:t>
      </w:r>
      <w:r>
        <w:rPr>
          <w:rFonts w:eastAsia="Arial" w:cs="Arial" w:ascii="Arial" w:hAnsi="Arial"/>
          <w:spacing w:val="-1"/>
          <w:sz w:val="24"/>
          <w:szCs w:val="24"/>
        </w:rPr>
        <w:t>270.896</w:t>
      </w:r>
      <w:r>
        <w:rPr>
          <w:rFonts w:eastAsia="Arial" w:cs="Arial" w:ascii="Arial" w:hAnsi="Arial"/>
          <w:spacing w:val="4"/>
          <w:sz w:val="24"/>
          <w:szCs w:val="24"/>
        </w:rPr>
        <w:t xml:space="preserve"> </w:t>
      </w:r>
      <w:r>
        <w:rPr>
          <w:rFonts w:eastAsia="Arial" w:cs="Arial" w:ascii="Arial" w:hAnsi="Arial"/>
          <w:spacing w:val="-2"/>
          <w:sz w:val="24"/>
          <w:szCs w:val="24"/>
        </w:rPr>
        <w:t>acțiuni</w:t>
      </w:r>
      <w:r>
        <w:rPr>
          <w:rFonts w:eastAsia="Arial" w:cs="Arial" w:ascii="Arial" w:hAnsi="Arial"/>
          <w:sz w:val="24"/>
          <w:szCs w:val="24"/>
        </w:rPr>
        <w:t xml:space="preserve"> </w:t>
      </w:r>
      <w:r>
        <w:rPr>
          <w:rFonts w:eastAsia="Arial" w:cs="Arial" w:ascii="Arial" w:hAnsi="Arial"/>
          <w:spacing w:val="39"/>
          <w:sz w:val="24"/>
          <w:szCs w:val="24"/>
        </w:rPr>
        <w:t xml:space="preserve"> </w:t>
      </w:r>
      <w:r>
        <w:rPr>
          <w:rFonts w:eastAsia="Arial" w:cs="Arial" w:ascii="Arial" w:hAnsi="Arial"/>
          <w:spacing w:val="3"/>
          <w:sz w:val="24"/>
          <w:szCs w:val="24"/>
        </w:rPr>
        <w:t>e</w:t>
      </w:r>
      <w:r>
        <w:rPr>
          <w:rFonts w:eastAsia="Arial" w:cs="Arial" w:ascii="Arial" w:hAnsi="Arial"/>
          <w:spacing w:val="-2"/>
          <w:sz w:val="24"/>
          <w:szCs w:val="24"/>
        </w:rPr>
        <w:t>g</w:t>
      </w:r>
      <w:r>
        <w:rPr>
          <w:rFonts w:eastAsia="Arial" w:cs="Arial" w:ascii="Arial" w:hAnsi="Arial"/>
          <w:spacing w:val="-1"/>
          <w:sz w:val="24"/>
          <w:szCs w:val="24"/>
        </w:rPr>
        <w:t>a</w:t>
      </w:r>
      <w:r>
        <w:rPr>
          <w:rFonts w:eastAsia="Arial" w:cs="Arial" w:ascii="Arial" w:hAnsi="Arial"/>
          <w:spacing w:val="4"/>
          <w:sz w:val="24"/>
          <w:szCs w:val="24"/>
        </w:rPr>
        <w:t>l</w:t>
      </w:r>
      <w:r>
        <w:rPr>
          <w:rFonts w:eastAsia="Arial" w:cs="Arial" w:ascii="Arial" w:hAnsi="Arial"/>
          <w:sz w:val="24"/>
          <w:szCs w:val="24"/>
        </w:rPr>
        <w:t xml:space="preserve">e </w:t>
      </w:r>
      <w:r>
        <w:rPr>
          <w:rFonts w:eastAsia="Arial" w:cs="Arial" w:ascii="Arial" w:hAnsi="Arial"/>
          <w:spacing w:val="41"/>
          <w:sz w:val="24"/>
          <w:szCs w:val="24"/>
        </w:rPr>
        <w:t xml:space="preserve"> </w:t>
      </w:r>
      <w:r>
        <w:rPr>
          <w:rFonts w:eastAsia="Arial" w:cs="Arial" w:ascii="Arial" w:hAnsi="Arial"/>
          <w:spacing w:val="4"/>
          <w:sz w:val="24"/>
          <w:szCs w:val="24"/>
        </w:rPr>
        <w:t>c</w:t>
      </w:r>
      <w:r>
        <w:rPr>
          <w:rFonts w:eastAsia="Arial" w:cs="Arial" w:ascii="Arial" w:hAnsi="Arial"/>
          <w:sz w:val="24"/>
          <w:szCs w:val="24"/>
        </w:rPr>
        <w:t xml:space="preserve">u </w:t>
      </w:r>
      <w:r>
        <w:rPr>
          <w:rFonts w:eastAsia="Arial" w:cs="Arial" w:ascii="Arial" w:hAnsi="Arial"/>
          <w:spacing w:val="42"/>
          <w:sz w:val="24"/>
          <w:szCs w:val="24"/>
        </w:rPr>
        <w:t xml:space="preserve"> </w:t>
      </w:r>
      <w:r>
        <w:rPr>
          <w:rFonts w:eastAsia="Arial" w:cs="Arial" w:ascii="Arial" w:hAnsi="Arial"/>
          <w:spacing w:val="4"/>
          <w:sz w:val="24"/>
          <w:szCs w:val="24"/>
        </w:rPr>
        <w:t>v</w:t>
      </w:r>
      <w:r>
        <w:rPr>
          <w:rFonts w:eastAsia="Arial" w:cs="Arial" w:ascii="Arial" w:hAnsi="Arial"/>
          <w:spacing w:val="-1"/>
          <w:sz w:val="24"/>
          <w:szCs w:val="24"/>
        </w:rPr>
        <w:t>a</w:t>
      </w:r>
      <w:r>
        <w:rPr>
          <w:rFonts w:eastAsia="Arial" w:cs="Arial" w:ascii="Arial" w:hAnsi="Arial"/>
          <w:sz w:val="24"/>
          <w:szCs w:val="24"/>
        </w:rPr>
        <w:t>l</w:t>
      </w:r>
      <w:r>
        <w:rPr>
          <w:rFonts w:eastAsia="Arial" w:cs="Arial" w:ascii="Arial" w:hAnsi="Arial"/>
          <w:spacing w:val="4"/>
          <w:sz w:val="24"/>
          <w:szCs w:val="24"/>
        </w:rPr>
        <w:t>o</w:t>
      </w:r>
      <w:r>
        <w:rPr>
          <w:rFonts w:eastAsia="Arial" w:cs="Arial" w:ascii="Arial" w:hAnsi="Arial"/>
          <w:spacing w:val="-1"/>
          <w:sz w:val="24"/>
          <w:szCs w:val="24"/>
        </w:rPr>
        <w:t>ar</w:t>
      </w:r>
      <w:r>
        <w:rPr>
          <w:rFonts w:eastAsia="Arial" w:cs="Arial" w:ascii="Arial" w:hAnsi="Arial"/>
          <w:sz w:val="24"/>
          <w:szCs w:val="24"/>
        </w:rPr>
        <w:t xml:space="preserve">e </w:t>
      </w:r>
      <w:r>
        <w:rPr>
          <w:rFonts w:eastAsia="Arial" w:cs="Arial" w:ascii="Arial" w:hAnsi="Arial"/>
          <w:spacing w:val="40"/>
          <w:sz w:val="24"/>
          <w:szCs w:val="24"/>
        </w:rPr>
        <w:t xml:space="preserve"> </w:t>
      </w:r>
      <w:r>
        <w:rPr>
          <w:rFonts w:eastAsia="Arial" w:cs="Arial" w:ascii="Arial" w:hAnsi="Arial"/>
          <w:spacing w:val="3"/>
          <w:sz w:val="24"/>
          <w:szCs w:val="24"/>
        </w:rPr>
        <w:t>nom</w:t>
      </w:r>
      <w:r>
        <w:rPr>
          <w:rFonts w:eastAsia="Arial" w:cs="Arial" w:ascii="Arial" w:hAnsi="Arial"/>
          <w:sz w:val="24"/>
          <w:szCs w:val="24"/>
        </w:rPr>
        <w:t>in</w:t>
      </w:r>
      <w:r>
        <w:rPr>
          <w:rFonts w:eastAsia="Arial" w:cs="Arial" w:ascii="Arial" w:hAnsi="Arial"/>
          <w:spacing w:val="-2"/>
          <w:sz w:val="24"/>
          <w:szCs w:val="24"/>
        </w:rPr>
        <w:t>a</w:t>
      </w:r>
      <w:r>
        <w:rPr>
          <w:rFonts w:eastAsia="Arial" w:cs="Arial" w:ascii="Arial" w:hAnsi="Arial"/>
          <w:sz w:val="24"/>
          <w:szCs w:val="24"/>
        </w:rPr>
        <w:t xml:space="preserve">lă </w:t>
      </w:r>
      <w:r>
        <w:rPr>
          <w:rFonts w:eastAsia="Arial" w:cs="Arial" w:ascii="Arial" w:hAnsi="Arial"/>
          <w:spacing w:val="38"/>
          <w:sz w:val="24"/>
          <w:szCs w:val="24"/>
        </w:rPr>
        <w:t xml:space="preserve"> </w:t>
      </w:r>
      <w:r>
        <w:rPr>
          <w:rFonts w:eastAsia="Arial" w:cs="Arial" w:ascii="Arial" w:hAnsi="Arial"/>
          <w:spacing w:val="-1"/>
          <w:sz w:val="24"/>
          <w:szCs w:val="24"/>
        </w:rPr>
        <w:t>d</w:t>
      </w:r>
      <w:r>
        <w:rPr>
          <w:rFonts w:eastAsia="Arial" w:cs="Arial" w:ascii="Arial" w:hAnsi="Arial"/>
          <w:sz w:val="24"/>
          <w:szCs w:val="24"/>
        </w:rPr>
        <w:t xml:space="preserve">e </w:t>
      </w:r>
      <w:r>
        <w:rPr>
          <w:rFonts w:eastAsia="Arial" w:cs="Arial" w:ascii="Arial" w:hAnsi="Arial"/>
          <w:spacing w:val="51"/>
          <w:sz w:val="24"/>
          <w:szCs w:val="24"/>
        </w:rPr>
        <w:t xml:space="preserve"> </w:t>
      </w:r>
      <w:r>
        <w:rPr>
          <w:rFonts w:eastAsia="Arial" w:cs="Arial" w:ascii="Arial" w:hAnsi="Arial"/>
          <w:spacing w:val="-1"/>
          <w:sz w:val="24"/>
          <w:szCs w:val="24"/>
        </w:rPr>
        <w:t>1</w:t>
      </w:r>
      <w:r>
        <w:rPr>
          <w:rFonts w:eastAsia="Arial" w:cs="Arial" w:ascii="Arial" w:hAnsi="Arial"/>
          <w:spacing w:val="3"/>
          <w:sz w:val="24"/>
          <w:szCs w:val="24"/>
        </w:rPr>
        <w:t>0</w:t>
      </w:r>
      <w:r>
        <w:rPr>
          <w:rFonts w:eastAsia="Arial" w:cs="Arial" w:ascii="Arial" w:hAnsi="Arial"/>
          <w:sz w:val="24"/>
          <w:szCs w:val="24"/>
        </w:rPr>
        <w:t xml:space="preserve"> </w:t>
      </w:r>
      <w:r>
        <w:rPr>
          <w:rFonts w:eastAsia="Arial" w:cs="Arial" w:ascii="Arial" w:hAnsi="Arial"/>
          <w:spacing w:val="40"/>
          <w:sz w:val="24"/>
          <w:szCs w:val="24"/>
        </w:rPr>
        <w:t xml:space="preserve"> </w:t>
      </w:r>
      <w:r>
        <w:rPr>
          <w:rFonts w:eastAsia="Arial" w:cs="Arial" w:ascii="Arial" w:hAnsi="Arial"/>
          <w:spacing w:val="4"/>
          <w:sz w:val="24"/>
          <w:szCs w:val="24"/>
        </w:rPr>
        <w:t>l</w:t>
      </w:r>
      <w:r>
        <w:rPr>
          <w:rFonts w:eastAsia="Arial" w:cs="Arial" w:ascii="Arial" w:hAnsi="Arial"/>
          <w:spacing w:val="-1"/>
          <w:sz w:val="24"/>
          <w:szCs w:val="24"/>
        </w:rPr>
        <w:t>e</w:t>
      </w:r>
      <w:r>
        <w:rPr>
          <w:rFonts w:eastAsia="Arial" w:cs="Arial" w:ascii="Arial" w:hAnsi="Arial"/>
          <w:sz w:val="24"/>
          <w:szCs w:val="24"/>
        </w:rPr>
        <w:t>i</w:t>
      </w:r>
      <w:r>
        <w:rPr>
          <w:rFonts w:eastAsia="Arial" w:cs="Arial" w:ascii="Arial" w:hAnsi="Arial"/>
          <w:spacing w:val="4"/>
          <w:sz w:val="24"/>
          <w:szCs w:val="24"/>
        </w:rPr>
        <w:t>/</w:t>
      </w:r>
      <w:r>
        <w:rPr>
          <w:rFonts w:eastAsia="Arial" w:cs="Arial" w:ascii="Arial" w:hAnsi="Arial"/>
          <w:spacing w:val="-2"/>
          <w:sz w:val="24"/>
          <w:szCs w:val="24"/>
        </w:rPr>
        <w:t>p</w:t>
      </w:r>
      <w:r>
        <w:rPr>
          <w:rFonts w:eastAsia="Arial" w:cs="Arial" w:ascii="Arial" w:hAnsi="Arial"/>
          <w:spacing w:val="-1"/>
          <w:sz w:val="24"/>
          <w:szCs w:val="24"/>
        </w:rPr>
        <w:t>a</w:t>
      </w:r>
      <w:r>
        <w:rPr>
          <w:rFonts w:eastAsia="Arial" w:cs="Arial" w:ascii="Arial" w:hAnsi="Arial"/>
          <w:spacing w:val="2"/>
          <w:sz w:val="24"/>
          <w:szCs w:val="24"/>
        </w:rPr>
        <w:t>r</w:t>
      </w:r>
      <w:r>
        <w:rPr>
          <w:rFonts w:eastAsia="Arial" w:cs="Arial" w:ascii="Arial" w:hAnsi="Arial"/>
          <w:spacing w:val="3"/>
          <w:sz w:val="24"/>
          <w:szCs w:val="24"/>
        </w:rPr>
        <w:t>t</w:t>
      </w:r>
      <w:r>
        <w:rPr>
          <w:rFonts w:eastAsia="Arial" w:cs="Arial" w:ascii="Arial" w:hAnsi="Arial"/>
          <w:sz w:val="24"/>
          <w:szCs w:val="24"/>
        </w:rPr>
        <w:t xml:space="preserve">e </w:t>
      </w:r>
      <w:r>
        <w:rPr>
          <w:rFonts w:eastAsia="Arial" w:cs="Arial" w:ascii="Arial" w:hAnsi="Arial"/>
          <w:spacing w:val="34"/>
          <w:sz w:val="24"/>
          <w:szCs w:val="24"/>
        </w:rPr>
        <w:t xml:space="preserve"> </w:t>
      </w:r>
      <w:r>
        <w:rPr>
          <w:rFonts w:eastAsia="Arial" w:cs="Arial" w:ascii="Arial" w:hAnsi="Arial"/>
          <w:spacing w:val="3"/>
          <w:sz w:val="24"/>
          <w:szCs w:val="24"/>
        </w:rPr>
        <w:t>s</w:t>
      </w:r>
      <w:r>
        <w:rPr>
          <w:rFonts w:eastAsia="Arial" w:cs="Arial" w:ascii="Arial" w:hAnsi="Arial"/>
          <w:spacing w:val="-2"/>
          <w:sz w:val="24"/>
          <w:szCs w:val="24"/>
        </w:rPr>
        <w:t>o</w:t>
      </w:r>
      <w:r>
        <w:rPr>
          <w:rFonts w:eastAsia="Arial" w:cs="Arial" w:ascii="Arial" w:hAnsi="Arial"/>
          <w:spacing w:val="3"/>
          <w:sz w:val="24"/>
          <w:szCs w:val="24"/>
        </w:rPr>
        <w:t>c</w:t>
      </w:r>
      <w:r>
        <w:rPr>
          <w:rFonts w:eastAsia="Arial" w:cs="Arial" w:ascii="Arial" w:hAnsi="Arial"/>
          <w:sz w:val="24"/>
          <w:szCs w:val="24"/>
        </w:rPr>
        <w:t>i</w:t>
      </w:r>
      <w:r>
        <w:rPr>
          <w:rFonts w:eastAsia="Arial" w:cs="Arial" w:ascii="Arial" w:hAnsi="Arial"/>
          <w:spacing w:val="-2"/>
          <w:sz w:val="24"/>
          <w:szCs w:val="24"/>
        </w:rPr>
        <w:t>a</w:t>
      </w:r>
      <w:r>
        <w:rPr>
          <w:rFonts w:eastAsia="Arial" w:cs="Arial" w:ascii="Arial" w:hAnsi="Arial"/>
          <w:spacing w:val="4"/>
          <w:sz w:val="24"/>
          <w:szCs w:val="24"/>
        </w:rPr>
        <w:t>l</w:t>
      </w:r>
      <w:r>
        <w:rPr>
          <w:rFonts w:eastAsia="Arial" w:cs="Arial" w:ascii="Arial" w:hAnsi="Arial"/>
          <w:spacing w:val="1"/>
          <w:sz w:val="24"/>
          <w:szCs w:val="24"/>
        </w:rPr>
        <w:t>ă</w:t>
      </w:r>
      <w:r>
        <w:rPr>
          <w:rFonts w:eastAsia="Arial" w:cs="Arial" w:ascii="Arial" w:hAnsi="Arial"/>
          <w:sz w:val="24"/>
          <w:szCs w:val="24"/>
        </w:rPr>
        <w:t>, c</w:t>
      </w:r>
      <w:r>
        <w:rPr>
          <w:rFonts w:eastAsia="Arial" w:cs="Arial" w:ascii="Arial" w:hAnsi="Arial"/>
          <w:spacing w:val="-1"/>
          <w:sz w:val="24"/>
          <w:szCs w:val="24"/>
        </w:rPr>
        <w:t>on</w:t>
      </w:r>
      <w:r>
        <w:rPr>
          <w:rFonts w:eastAsia="Arial" w:cs="Arial" w:ascii="Arial" w:hAnsi="Arial"/>
          <w:sz w:val="24"/>
          <w:szCs w:val="24"/>
        </w:rPr>
        <w:t>st</w:t>
      </w:r>
      <w:r>
        <w:rPr>
          <w:rFonts w:eastAsia="Arial" w:cs="Arial" w:ascii="Arial" w:hAnsi="Arial"/>
          <w:spacing w:val="4"/>
          <w:sz w:val="24"/>
          <w:szCs w:val="24"/>
        </w:rPr>
        <w:t>i</w:t>
      </w:r>
      <w:r>
        <w:rPr>
          <w:rFonts w:eastAsia="Arial" w:cs="Arial" w:ascii="Arial" w:hAnsi="Arial"/>
          <w:sz w:val="24"/>
          <w:szCs w:val="24"/>
        </w:rPr>
        <w:t>t</w:t>
      </w:r>
      <w:r>
        <w:rPr>
          <w:rFonts w:eastAsia="Arial" w:cs="Arial" w:ascii="Arial" w:hAnsi="Arial"/>
          <w:spacing w:val="-2"/>
          <w:sz w:val="24"/>
          <w:szCs w:val="24"/>
        </w:rPr>
        <w:t>u</w:t>
      </w:r>
      <w:r>
        <w:rPr>
          <w:rFonts w:eastAsia="Arial" w:cs="Arial" w:ascii="Arial" w:hAnsi="Arial"/>
          <w:sz w:val="24"/>
          <w:szCs w:val="24"/>
        </w:rPr>
        <w:t>it</w:t>
      </w:r>
      <w:r>
        <w:rPr>
          <w:rFonts w:eastAsia="Arial" w:cs="Arial" w:ascii="Arial" w:hAnsi="Arial"/>
          <w:spacing w:val="3"/>
          <w:sz w:val="24"/>
          <w:szCs w:val="24"/>
        </w:rPr>
        <w:t xml:space="preserve"> p</w:t>
      </w:r>
      <w:r>
        <w:rPr>
          <w:rFonts w:eastAsia="Arial" w:cs="Arial" w:ascii="Arial" w:hAnsi="Arial"/>
          <w:spacing w:val="-1"/>
          <w:sz w:val="24"/>
          <w:szCs w:val="24"/>
        </w:rPr>
        <w:t>r</w:t>
      </w:r>
      <w:r>
        <w:rPr>
          <w:rFonts w:eastAsia="Arial" w:cs="Arial" w:ascii="Arial" w:hAnsi="Arial"/>
          <w:sz w:val="24"/>
          <w:szCs w:val="24"/>
        </w:rPr>
        <w:t>in</w:t>
      </w:r>
      <w:r>
        <w:rPr>
          <w:rFonts w:eastAsia="Arial" w:cs="Arial" w:ascii="Arial" w:hAnsi="Arial"/>
          <w:spacing w:val="7"/>
          <w:sz w:val="24"/>
          <w:szCs w:val="24"/>
        </w:rPr>
        <w:t xml:space="preserve"> </w:t>
      </w:r>
      <w:r>
        <w:rPr>
          <w:rFonts w:eastAsia="Arial" w:cs="Arial" w:ascii="Arial" w:hAnsi="Arial"/>
          <w:spacing w:val="3"/>
          <w:sz w:val="24"/>
          <w:szCs w:val="24"/>
        </w:rPr>
        <w:t>a</w:t>
      </w:r>
      <w:r>
        <w:rPr>
          <w:rFonts w:eastAsia="Arial" w:cs="Arial" w:ascii="Arial" w:hAnsi="Arial"/>
          <w:spacing w:val="-1"/>
          <w:sz w:val="24"/>
          <w:szCs w:val="24"/>
        </w:rPr>
        <w:t>p</w:t>
      </w:r>
      <w:r>
        <w:rPr>
          <w:rFonts w:eastAsia="Arial" w:cs="Arial" w:ascii="Arial" w:hAnsi="Arial"/>
          <w:spacing w:val="3"/>
          <w:sz w:val="24"/>
          <w:szCs w:val="24"/>
        </w:rPr>
        <w:t>o</w:t>
      </w:r>
      <w:r>
        <w:rPr>
          <w:rFonts w:eastAsia="Arial" w:cs="Arial" w:ascii="Arial" w:hAnsi="Arial"/>
          <w:spacing w:val="-1"/>
          <w:sz w:val="24"/>
          <w:szCs w:val="24"/>
        </w:rPr>
        <w:t>r</w:t>
      </w:r>
      <w:r>
        <w:rPr>
          <w:rFonts w:eastAsia="Arial" w:cs="Arial" w:ascii="Arial" w:hAnsi="Arial"/>
          <w:sz w:val="24"/>
          <w:szCs w:val="24"/>
        </w:rPr>
        <w:t>t</w:t>
      </w:r>
      <w:r>
        <w:rPr>
          <w:rFonts w:eastAsia="Arial" w:cs="Arial" w:ascii="Arial" w:hAnsi="Arial"/>
          <w:spacing w:val="13"/>
          <w:sz w:val="24"/>
          <w:szCs w:val="24"/>
        </w:rPr>
        <w:t xml:space="preserve"> </w:t>
      </w:r>
      <w:r>
        <w:rPr>
          <w:rFonts w:eastAsia="Arial" w:cs="Arial" w:ascii="Arial" w:hAnsi="Arial"/>
          <w:spacing w:val="-5"/>
          <w:sz w:val="24"/>
          <w:szCs w:val="24"/>
        </w:rPr>
        <w:t>î</w:t>
      </w:r>
      <w:r>
        <w:rPr>
          <w:rFonts w:eastAsia="Arial" w:cs="Arial" w:ascii="Arial" w:hAnsi="Arial"/>
          <w:sz w:val="24"/>
          <w:szCs w:val="24"/>
        </w:rPr>
        <w:t>n</w:t>
      </w:r>
      <w:r>
        <w:rPr>
          <w:rFonts w:eastAsia="Arial" w:cs="Arial" w:ascii="Arial" w:hAnsi="Arial"/>
          <w:spacing w:val="10"/>
          <w:sz w:val="24"/>
          <w:szCs w:val="24"/>
        </w:rPr>
        <w:t xml:space="preserve"> </w:t>
      </w:r>
      <w:r>
        <w:rPr>
          <w:rFonts w:eastAsia="Arial" w:cs="Arial" w:ascii="Arial" w:hAnsi="Arial"/>
          <w:spacing w:val="3"/>
          <w:sz w:val="24"/>
          <w:szCs w:val="24"/>
        </w:rPr>
        <w:t>n</w:t>
      </w:r>
      <w:r>
        <w:rPr>
          <w:rFonts w:eastAsia="Arial" w:cs="Arial" w:ascii="Arial" w:hAnsi="Arial"/>
          <w:spacing w:val="-1"/>
          <w:sz w:val="24"/>
          <w:szCs w:val="24"/>
        </w:rPr>
        <w:t>u</w:t>
      </w:r>
      <w:r>
        <w:rPr>
          <w:rFonts w:eastAsia="Arial" w:cs="Arial" w:ascii="Arial" w:hAnsi="Arial"/>
          <w:spacing w:val="3"/>
          <w:sz w:val="24"/>
          <w:szCs w:val="24"/>
        </w:rPr>
        <w:t>m</w:t>
      </w:r>
      <w:r>
        <w:rPr>
          <w:rFonts w:eastAsia="Arial" w:cs="Arial" w:ascii="Arial" w:hAnsi="Arial"/>
          <w:spacing w:val="-1"/>
          <w:sz w:val="24"/>
          <w:szCs w:val="24"/>
        </w:rPr>
        <w:t>e</w:t>
      </w:r>
      <w:r>
        <w:rPr>
          <w:rFonts w:eastAsia="Arial" w:cs="Arial" w:ascii="Arial" w:hAnsi="Arial"/>
          <w:spacing w:val="3"/>
          <w:sz w:val="24"/>
          <w:szCs w:val="24"/>
        </w:rPr>
        <w:t>r</w:t>
      </w:r>
      <w:r>
        <w:rPr>
          <w:rFonts w:eastAsia="Arial" w:cs="Arial" w:ascii="Arial" w:hAnsi="Arial"/>
          <w:spacing w:val="-1"/>
          <w:sz w:val="24"/>
          <w:szCs w:val="24"/>
        </w:rPr>
        <w:t>a</w:t>
      </w:r>
      <w:r>
        <w:rPr>
          <w:rFonts w:eastAsia="Arial" w:cs="Arial" w:ascii="Arial" w:hAnsi="Arial"/>
          <w:sz w:val="24"/>
          <w:szCs w:val="24"/>
        </w:rPr>
        <w:t>r</w:t>
      </w:r>
      <w:r>
        <w:rPr>
          <w:rFonts w:eastAsia="Arial" w:cs="Arial" w:ascii="Arial" w:hAnsi="Arial"/>
          <w:spacing w:val="2"/>
          <w:sz w:val="24"/>
          <w:szCs w:val="24"/>
        </w:rPr>
        <w:t xml:space="preserve">  astfel:</w:t>
      </w:r>
    </w:p>
    <w:p>
      <w:pPr>
        <w:pStyle w:val="Normal"/>
        <w:jc w:val="both"/>
        <w:rPr>
          <w:rFonts w:ascii="Arial" w:hAnsi="Arial" w:eastAsia="Arial" w:cs="Arial"/>
          <w:spacing w:val="-1"/>
          <w:sz w:val="24"/>
          <w:szCs w:val="24"/>
        </w:rPr>
      </w:pPr>
      <w:r>
        <w:rPr>
          <w:rFonts w:eastAsia="Arial" w:cs="Arial" w:ascii="Arial" w:hAnsi="Arial"/>
          <w:spacing w:val="2"/>
          <w:position w:val="-1"/>
          <w:sz w:val="24"/>
          <w:szCs w:val="24"/>
        </w:rPr>
        <w:t xml:space="preserve">- </w:t>
      </w:r>
      <w:r>
        <w:rPr>
          <w:rFonts w:eastAsia="Arial" w:cs="Arial" w:ascii="Arial" w:hAnsi="Arial"/>
          <w:spacing w:val="-1"/>
          <w:sz w:val="24"/>
          <w:szCs w:val="24"/>
        </w:rPr>
        <w:t>d</w:t>
      </w:r>
      <w:r>
        <w:rPr>
          <w:rFonts w:eastAsia="Arial" w:cs="Arial" w:ascii="Arial" w:hAnsi="Arial"/>
          <w:spacing w:val="5"/>
          <w:sz w:val="24"/>
          <w:szCs w:val="24"/>
        </w:rPr>
        <w:t>i</w:t>
      </w:r>
      <w:r>
        <w:rPr>
          <w:rFonts w:eastAsia="Arial" w:cs="Arial" w:ascii="Arial" w:hAnsi="Arial"/>
          <w:sz w:val="24"/>
          <w:szCs w:val="24"/>
        </w:rPr>
        <w:t>n</w:t>
      </w:r>
      <w:r>
        <w:rPr>
          <w:rFonts w:eastAsia="Arial" w:cs="Arial" w:ascii="Arial" w:hAnsi="Arial"/>
          <w:spacing w:val="8"/>
          <w:sz w:val="24"/>
          <w:szCs w:val="24"/>
        </w:rPr>
        <w:t xml:space="preserve"> </w:t>
      </w:r>
      <w:r>
        <w:rPr>
          <w:rFonts w:eastAsia="Arial" w:cs="Arial" w:ascii="Arial" w:hAnsi="Arial"/>
          <w:spacing w:val="-1"/>
          <w:sz w:val="24"/>
          <w:szCs w:val="24"/>
        </w:rPr>
        <w:t>p</w:t>
      </w:r>
      <w:r>
        <w:rPr>
          <w:rFonts w:eastAsia="Arial" w:cs="Arial" w:ascii="Arial" w:hAnsi="Arial"/>
          <w:spacing w:val="3"/>
          <w:sz w:val="24"/>
          <w:szCs w:val="24"/>
        </w:rPr>
        <w:t>a</w:t>
      </w:r>
      <w:r>
        <w:rPr>
          <w:rFonts w:eastAsia="Arial" w:cs="Arial" w:ascii="Arial" w:hAnsi="Arial"/>
          <w:spacing w:val="-1"/>
          <w:sz w:val="24"/>
          <w:szCs w:val="24"/>
        </w:rPr>
        <w:t>r</w:t>
      </w:r>
      <w:r>
        <w:rPr>
          <w:rFonts w:eastAsia="Arial" w:cs="Arial" w:ascii="Arial" w:hAnsi="Arial"/>
          <w:spacing w:val="4"/>
          <w:sz w:val="24"/>
          <w:szCs w:val="24"/>
        </w:rPr>
        <w:t>t</w:t>
      </w:r>
      <w:r>
        <w:rPr>
          <w:rFonts w:eastAsia="Arial" w:cs="Arial" w:ascii="Arial" w:hAnsi="Arial"/>
          <w:spacing w:val="-1"/>
          <w:sz w:val="24"/>
          <w:szCs w:val="24"/>
        </w:rPr>
        <w:t>e</w:t>
      </w:r>
      <w:r>
        <w:rPr>
          <w:rFonts w:eastAsia="Arial" w:cs="Arial" w:ascii="Arial" w:hAnsi="Arial"/>
          <w:sz w:val="24"/>
          <w:szCs w:val="24"/>
        </w:rPr>
        <w:t>a</w:t>
      </w:r>
      <w:r>
        <w:rPr>
          <w:rFonts w:eastAsia="Arial" w:cs="Arial" w:ascii="Arial" w:hAnsi="Arial"/>
          <w:spacing w:val="6"/>
          <w:sz w:val="24"/>
          <w:szCs w:val="24"/>
        </w:rPr>
        <w:t xml:space="preserve"> </w:t>
      </w:r>
      <w:r>
        <w:rPr>
          <w:rFonts w:eastAsia="Arial" w:cs="Arial" w:ascii="Arial" w:hAnsi="Arial"/>
          <w:spacing w:val="3"/>
          <w:sz w:val="24"/>
          <w:szCs w:val="24"/>
        </w:rPr>
        <w:t>M</w:t>
      </w:r>
      <w:r>
        <w:rPr>
          <w:rFonts w:eastAsia="Arial" w:cs="Arial" w:ascii="Arial" w:hAnsi="Arial"/>
          <w:spacing w:val="-2"/>
          <w:sz w:val="24"/>
          <w:szCs w:val="24"/>
        </w:rPr>
        <w:t>u</w:t>
      </w:r>
      <w:r>
        <w:rPr>
          <w:rFonts w:eastAsia="Arial" w:cs="Arial" w:ascii="Arial" w:hAnsi="Arial"/>
          <w:spacing w:val="3"/>
          <w:sz w:val="24"/>
          <w:szCs w:val="24"/>
        </w:rPr>
        <w:t>n</w:t>
      </w:r>
      <w:r>
        <w:rPr>
          <w:rFonts w:eastAsia="Arial" w:cs="Arial" w:ascii="Arial" w:hAnsi="Arial"/>
          <w:sz w:val="24"/>
          <w:szCs w:val="24"/>
        </w:rPr>
        <w:t>i</w:t>
      </w:r>
      <w:r>
        <w:rPr>
          <w:rFonts w:eastAsia="Arial" w:cs="Arial" w:ascii="Arial" w:hAnsi="Arial"/>
          <w:spacing w:val="-2"/>
          <w:sz w:val="24"/>
          <w:szCs w:val="24"/>
        </w:rPr>
        <w:t>c</w:t>
      </w:r>
      <w:r>
        <w:rPr>
          <w:rFonts w:eastAsia="Arial" w:cs="Arial" w:ascii="Arial" w:hAnsi="Arial"/>
          <w:spacing w:val="4"/>
          <w:sz w:val="24"/>
          <w:szCs w:val="24"/>
        </w:rPr>
        <w:t>i</w:t>
      </w:r>
      <w:r>
        <w:rPr>
          <w:rFonts w:eastAsia="Arial" w:cs="Arial" w:ascii="Arial" w:hAnsi="Arial"/>
          <w:spacing w:val="-2"/>
          <w:sz w:val="24"/>
          <w:szCs w:val="24"/>
        </w:rPr>
        <w:t>p</w:t>
      </w:r>
      <w:r>
        <w:rPr>
          <w:rFonts w:eastAsia="Arial" w:cs="Arial" w:ascii="Arial" w:hAnsi="Arial"/>
          <w:spacing w:val="4"/>
          <w:sz w:val="24"/>
          <w:szCs w:val="24"/>
        </w:rPr>
        <w:t>i</w:t>
      </w:r>
      <w:r>
        <w:rPr>
          <w:rFonts w:eastAsia="Arial" w:cs="Arial" w:ascii="Arial" w:hAnsi="Arial"/>
          <w:spacing w:val="-2"/>
          <w:sz w:val="24"/>
          <w:szCs w:val="24"/>
        </w:rPr>
        <w:t>u</w:t>
      </w:r>
      <w:r>
        <w:rPr>
          <w:rFonts w:eastAsia="Arial" w:cs="Arial" w:ascii="Arial" w:hAnsi="Arial"/>
          <w:sz w:val="24"/>
          <w:szCs w:val="24"/>
        </w:rPr>
        <w:t>lui</w:t>
      </w:r>
      <w:r>
        <w:rPr>
          <w:rFonts w:eastAsia="Arial" w:cs="Arial" w:ascii="Arial" w:hAnsi="Arial"/>
          <w:spacing w:val="-2"/>
          <w:sz w:val="24"/>
          <w:szCs w:val="24"/>
        </w:rPr>
        <w:t xml:space="preserve"> </w:t>
      </w:r>
      <w:r>
        <w:rPr>
          <w:rFonts w:eastAsia="Arial" w:cs="Arial" w:ascii="Arial" w:hAnsi="Arial"/>
          <w:sz w:val="24"/>
          <w:szCs w:val="24"/>
        </w:rPr>
        <w:t>Tulcea,</w:t>
      </w:r>
      <w:r>
        <w:rPr>
          <w:rFonts w:eastAsia="Arial" w:cs="Arial" w:ascii="Arial" w:hAnsi="Arial"/>
          <w:spacing w:val="7"/>
          <w:sz w:val="24"/>
          <w:szCs w:val="24"/>
        </w:rPr>
        <w:t xml:space="preserve"> </w:t>
      </w:r>
      <w:r>
        <w:rPr>
          <w:rFonts w:eastAsia="Arial" w:cs="Arial" w:ascii="Arial" w:hAnsi="Arial"/>
          <w:spacing w:val="4"/>
          <w:sz w:val="24"/>
          <w:szCs w:val="24"/>
        </w:rPr>
        <w:t>c</w:t>
      </w:r>
      <w:r>
        <w:rPr>
          <w:rFonts w:eastAsia="Arial" w:cs="Arial" w:ascii="Arial" w:hAnsi="Arial"/>
          <w:sz w:val="24"/>
          <w:szCs w:val="24"/>
        </w:rPr>
        <w:t>u</w:t>
      </w:r>
      <w:r>
        <w:rPr>
          <w:rFonts w:eastAsia="Arial" w:cs="Arial" w:ascii="Arial" w:hAnsi="Arial"/>
          <w:spacing w:val="8"/>
          <w:sz w:val="24"/>
          <w:szCs w:val="24"/>
        </w:rPr>
        <w:t xml:space="preserve"> </w:t>
      </w:r>
      <w:r>
        <w:rPr>
          <w:rFonts w:eastAsia="Arial" w:cs="Arial" w:ascii="Arial" w:hAnsi="Arial"/>
          <w:spacing w:val="-1"/>
          <w:sz w:val="24"/>
          <w:szCs w:val="24"/>
        </w:rPr>
        <w:t>s</w:t>
      </w:r>
      <w:r>
        <w:rPr>
          <w:rFonts w:eastAsia="Arial" w:cs="Arial" w:ascii="Arial" w:hAnsi="Arial"/>
          <w:spacing w:val="-2"/>
          <w:sz w:val="24"/>
          <w:szCs w:val="24"/>
        </w:rPr>
        <w:t>u</w:t>
      </w:r>
      <w:r>
        <w:rPr>
          <w:rFonts w:eastAsia="Arial" w:cs="Arial" w:ascii="Arial" w:hAnsi="Arial"/>
          <w:spacing w:val="7"/>
          <w:sz w:val="24"/>
          <w:szCs w:val="24"/>
        </w:rPr>
        <w:t>m</w:t>
      </w:r>
      <w:r>
        <w:rPr>
          <w:rFonts w:eastAsia="Arial" w:cs="Arial" w:ascii="Arial" w:hAnsi="Arial"/>
          <w:sz w:val="24"/>
          <w:szCs w:val="24"/>
        </w:rPr>
        <w:t>a</w:t>
      </w:r>
      <w:r>
        <w:rPr>
          <w:rFonts w:eastAsia="Arial" w:cs="Arial" w:ascii="Arial" w:hAnsi="Arial"/>
          <w:spacing w:val="6"/>
          <w:sz w:val="24"/>
          <w:szCs w:val="24"/>
        </w:rPr>
        <w:t xml:space="preserve"> </w:t>
      </w:r>
      <w:r>
        <w:rPr>
          <w:rFonts w:eastAsia="Arial" w:cs="Arial" w:ascii="Arial" w:hAnsi="Arial"/>
          <w:spacing w:val="3"/>
          <w:sz w:val="24"/>
          <w:szCs w:val="24"/>
        </w:rPr>
        <w:t>d</w:t>
      </w:r>
      <w:r>
        <w:rPr>
          <w:rFonts w:eastAsia="Arial" w:cs="Arial" w:ascii="Arial" w:hAnsi="Arial"/>
          <w:sz w:val="24"/>
          <w:szCs w:val="24"/>
        </w:rPr>
        <w:t xml:space="preserve">e </w:t>
      </w:r>
      <w:r>
        <w:rPr>
          <w:rFonts w:eastAsia="Arial" w:cs="Arial" w:ascii="Arial" w:hAnsi="Arial"/>
          <w:spacing w:val="-1"/>
          <w:position w:val="-1"/>
          <w:sz w:val="24"/>
          <w:szCs w:val="24"/>
        </w:rPr>
        <w:t>2.708.950, reprezentând un număr de 270.895 acțiuni - 99, 99 % din totalul de acțiuni;</w:t>
      </w:r>
    </w:p>
    <w:p>
      <w:pPr>
        <w:pStyle w:val="Normal"/>
        <w:jc w:val="both"/>
        <w:rPr>
          <w:rFonts w:ascii="Arial" w:hAnsi="Arial" w:eastAsia="Arial" w:cs="Arial"/>
          <w:spacing w:val="-1"/>
          <w:sz w:val="24"/>
          <w:szCs w:val="24"/>
        </w:rPr>
      </w:pPr>
      <w:r>
        <w:rPr>
          <w:rFonts w:eastAsia="Arial" w:cs="Arial" w:ascii="Arial" w:hAnsi="Arial"/>
          <w:spacing w:val="-1"/>
          <w:position w:val="-1"/>
          <w:sz w:val="24"/>
          <w:szCs w:val="24"/>
        </w:rPr>
        <w:t xml:space="preserve">- </w:t>
      </w:r>
      <w:r>
        <w:rPr>
          <w:rFonts w:eastAsia="Arial" w:cs="Arial" w:ascii="Arial" w:hAnsi="Arial"/>
          <w:spacing w:val="-1"/>
          <w:sz w:val="24"/>
          <w:szCs w:val="24"/>
        </w:rPr>
        <w:t>d</w:t>
      </w:r>
      <w:r>
        <w:rPr>
          <w:rFonts w:eastAsia="Arial" w:cs="Arial" w:ascii="Arial" w:hAnsi="Arial"/>
          <w:spacing w:val="5"/>
          <w:sz w:val="24"/>
          <w:szCs w:val="24"/>
        </w:rPr>
        <w:t>i</w:t>
      </w:r>
      <w:r>
        <w:rPr>
          <w:rFonts w:eastAsia="Arial" w:cs="Arial" w:ascii="Arial" w:hAnsi="Arial"/>
          <w:sz w:val="24"/>
          <w:szCs w:val="24"/>
        </w:rPr>
        <w:t>n</w:t>
      </w:r>
      <w:r>
        <w:rPr>
          <w:rFonts w:eastAsia="Arial" w:cs="Arial" w:ascii="Arial" w:hAnsi="Arial"/>
          <w:spacing w:val="8"/>
          <w:sz w:val="24"/>
          <w:szCs w:val="24"/>
        </w:rPr>
        <w:t xml:space="preserve"> </w:t>
      </w:r>
      <w:r>
        <w:rPr>
          <w:rFonts w:eastAsia="Arial" w:cs="Arial" w:ascii="Arial" w:hAnsi="Arial"/>
          <w:spacing w:val="-1"/>
          <w:sz w:val="24"/>
          <w:szCs w:val="24"/>
        </w:rPr>
        <w:t>p</w:t>
      </w:r>
      <w:r>
        <w:rPr>
          <w:rFonts w:eastAsia="Arial" w:cs="Arial" w:ascii="Arial" w:hAnsi="Arial"/>
          <w:spacing w:val="3"/>
          <w:sz w:val="24"/>
          <w:szCs w:val="24"/>
        </w:rPr>
        <w:t>a</w:t>
      </w:r>
      <w:r>
        <w:rPr>
          <w:rFonts w:eastAsia="Arial" w:cs="Arial" w:ascii="Arial" w:hAnsi="Arial"/>
          <w:spacing w:val="-1"/>
          <w:sz w:val="24"/>
          <w:szCs w:val="24"/>
        </w:rPr>
        <w:t>r</w:t>
      </w:r>
      <w:r>
        <w:rPr>
          <w:rFonts w:eastAsia="Arial" w:cs="Arial" w:ascii="Arial" w:hAnsi="Arial"/>
          <w:spacing w:val="4"/>
          <w:sz w:val="24"/>
          <w:szCs w:val="24"/>
        </w:rPr>
        <w:t>t</w:t>
      </w:r>
      <w:r>
        <w:rPr>
          <w:rFonts w:eastAsia="Arial" w:cs="Arial" w:ascii="Arial" w:hAnsi="Arial"/>
          <w:spacing w:val="-1"/>
          <w:sz w:val="24"/>
          <w:szCs w:val="24"/>
        </w:rPr>
        <w:t>e</w:t>
      </w:r>
      <w:r>
        <w:rPr>
          <w:rFonts w:eastAsia="Arial" w:cs="Arial" w:ascii="Arial" w:hAnsi="Arial"/>
          <w:sz w:val="24"/>
          <w:szCs w:val="24"/>
        </w:rPr>
        <w:t>a</w:t>
      </w:r>
      <w:r>
        <w:rPr>
          <w:rFonts w:eastAsia="Arial" w:cs="Arial" w:ascii="Arial" w:hAnsi="Arial"/>
          <w:spacing w:val="6"/>
          <w:sz w:val="24"/>
          <w:szCs w:val="24"/>
        </w:rPr>
        <w:t xml:space="preserve"> </w:t>
      </w:r>
      <w:r>
        <w:rPr>
          <w:rFonts w:eastAsia="Arial" w:cs="Arial" w:ascii="Arial" w:hAnsi="Arial"/>
          <w:spacing w:val="-1"/>
          <w:position w:val="-1"/>
          <w:sz w:val="24"/>
          <w:szCs w:val="24"/>
        </w:rPr>
        <w:t>partea Societății Energoterm S.A. Tulcea, cu suma de 10 lei, reprezentând un număr de 1 acțiune - 0, 01% din totalul de acțiuni.</w:t>
      </w:r>
    </w:p>
    <w:p>
      <w:pPr>
        <w:pStyle w:val="Normal"/>
        <w:jc w:val="both"/>
        <w:rPr>
          <w:rFonts w:ascii="Arial" w:hAnsi="Arial" w:eastAsia="Arial" w:cs="Arial"/>
          <w:sz w:val="24"/>
          <w:szCs w:val="24"/>
        </w:rPr>
      </w:pPr>
      <w:r>
        <w:rPr>
          <w:rFonts w:eastAsia="Times New Roman" w:cs="Arial" w:ascii="Arial" w:hAnsi="Arial"/>
          <w:sz w:val="24"/>
          <w:szCs w:val="24"/>
        </w:rPr>
        <w:t xml:space="preserve">Conform   Actului   Constitutiv   al   societății,  </w:t>
      </w:r>
      <w:r>
        <w:rPr>
          <w:rFonts w:eastAsia="Arial" w:cs="Arial" w:ascii="Arial" w:hAnsi="Arial"/>
          <w:sz w:val="24"/>
          <w:szCs w:val="24"/>
        </w:rPr>
        <w:t>cu  modificările  și completările ulterioare,</w:t>
      </w:r>
      <w:r>
        <w:rPr>
          <w:rFonts w:eastAsia="Arial" w:cs="Arial" w:ascii="Arial" w:hAnsi="Arial"/>
          <w:spacing w:val="-12"/>
          <w:sz w:val="24"/>
          <w:szCs w:val="24"/>
        </w:rPr>
        <w:t xml:space="preserve"> </w:t>
      </w:r>
      <w:r>
        <w:rPr>
          <w:rFonts w:eastAsia="Arial" w:cs="Arial" w:ascii="Arial" w:hAnsi="Arial"/>
          <w:sz w:val="24"/>
          <w:szCs w:val="24"/>
        </w:rPr>
        <w:t>TRANSPORT PUBLIC S.A.</w:t>
      </w:r>
      <w:r>
        <w:rPr>
          <w:rFonts w:eastAsia="Arial" w:cs="Arial" w:ascii="Arial" w:hAnsi="Arial"/>
          <w:spacing w:val="-1"/>
          <w:sz w:val="24"/>
          <w:szCs w:val="24"/>
        </w:rPr>
        <w:t xml:space="preserve"> este </w:t>
      </w:r>
      <w:r>
        <w:rPr>
          <w:rFonts w:eastAsia="Arial" w:cs="Arial" w:ascii="Arial" w:hAnsi="Arial"/>
          <w:spacing w:val="3"/>
          <w:sz w:val="24"/>
          <w:szCs w:val="24"/>
        </w:rPr>
        <w:t>a</w:t>
      </w:r>
      <w:r>
        <w:rPr>
          <w:rFonts w:eastAsia="Arial" w:cs="Arial" w:ascii="Arial" w:hAnsi="Arial"/>
          <w:spacing w:val="-1"/>
          <w:sz w:val="24"/>
          <w:szCs w:val="24"/>
        </w:rPr>
        <w:t>d</w:t>
      </w:r>
      <w:r>
        <w:rPr>
          <w:rFonts w:eastAsia="Arial" w:cs="Arial" w:ascii="Arial" w:hAnsi="Arial"/>
          <w:spacing w:val="3"/>
          <w:sz w:val="24"/>
          <w:szCs w:val="24"/>
        </w:rPr>
        <w:t>m</w:t>
      </w:r>
      <w:r>
        <w:rPr>
          <w:rFonts w:eastAsia="Arial" w:cs="Arial" w:ascii="Arial" w:hAnsi="Arial"/>
          <w:sz w:val="24"/>
          <w:szCs w:val="24"/>
        </w:rPr>
        <w:t>inist</w:t>
      </w:r>
      <w:r>
        <w:rPr>
          <w:rFonts w:eastAsia="Arial" w:cs="Arial" w:ascii="Arial" w:hAnsi="Arial"/>
          <w:spacing w:val="3"/>
          <w:sz w:val="24"/>
          <w:szCs w:val="24"/>
        </w:rPr>
        <w:t>r</w:t>
      </w:r>
      <w:r>
        <w:rPr>
          <w:rFonts w:eastAsia="Arial" w:cs="Arial" w:ascii="Arial" w:hAnsi="Arial"/>
          <w:spacing w:val="-1"/>
          <w:sz w:val="24"/>
          <w:szCs w:val="24"/>
        </w:rPr>
        <w:t>a</w:t>
      </w:r>
      <w:r>
        <w:rPr>
          <w:rFonts w:eastAsia="Arial" w:cs="Arial" w:ascii="Arial" w:hAnsi="Arial"/>
          <w:sz w:val="24"/>
          <w:szCs w:val="24"/>
        </w:rPr>
        <w:t>tă</w:t>
      </w:r>
      <w:r>
        <w:rPr>
          <w:rFonts w:eastAsia="Arial" w:cs="Arial" w:ascii="Arial" w:hAnsi="Arial"/>
          <w:spacing w:val="-9"/>
          <w:sz w:val="24"/>
          <w:szCs w:val="24"/>
        </w:rPr>
        <w:t xml:space="preserve"> </w:t>
      </w:r>
      <w:r>
        <w:rPr>
          <w:rFonts w:eastAsia="Arial" w:cs="Arial" w:ascii="Arial" w:hAnsi="Arial"/>
          <w:sz w:val="24"/>
          <w:szCs w:val="24"/>
        </w:rPr>
        <w:t>în</w:t>
      </w:r>
      <w:r>
        <w:rPr>
          <w:rFonts w:eastAsia="Arial" w:cs="Arial" w:ascii="Arial" w:hAnsi="Arial"/>
          <w:spacing w:val="-4"/>
          <w:sz w:val="24"/>
          <w:szCs w:val="24"/>
        </w:rPr>
        <w:t xml:space="preserve"> </w:t>
      </w:r>
      <w:r>
        <w:rPr>
          <w:rFonts w:eastAsia="Arial" w:cs="Arial" w:ascii="Arial" w:hAnsi="Arial"/>
          <w:sz w:val="24"/>
          <w:szCs w:val="24"/>
        </w:rPr>
        <w:t>si</w:t>
      </w:r>
      <w:r>
        <w:rPr>
          <w:rFonts w:eastAsia="Arial" w:cs="Arial" w:ascii="Arial" w:hAnsi="Arial"/>
          <w:spacing w:val="4"/>
          <w:sz w:val="24"/>
          <w:szCs w:val="24"/>
        </w:rPr>
        <w:t>s</w:t>
      </w:r>
      <w:r>
        <w:rPr>
          <w:rFonts w:eastAsia="Arial" w:cs="Arial" w:ascii="Arial" w:hAnsi="Arial"/>
          <w:sz w:val="24"/>
          <w:szCs w:val="24"/>
        </w:rPr>
        <w:t>t</w:t>
      </w:r>
      <w:r>
        <w:rPr>
          <w:rFonts w:eastAsia="Arial" w:cs="Arial" w:ascii="Arial" w:hAnsi="Arial"/>
          <w:spacing w:val="-2"/>
          <w:sz w:val="24"/>
          <w:szCs w:val="24"/>
        </w:rPr>
        <w:t>e</w:t>
      </w:r>
      <w:r>
        <w:rPr>
          <w:rFonts w:eastAsia="Arial" w:cs="Arial" w:ascii="Arial" w:hAnsi="Arial"/>
          <w:sz w:val="24"/>
          <w:szCs w:val="24"/>
        </w:rPr>
        <w:t>m</w:t>
      </w:r>
      <w:r>
        <w:rPr>
          <w:rFonts w:eastAsia="Arial" w:cs="Arial" w:ascii="Arial" w:hAnsi="Arial"/>
          <w:spacing w:val="-1"/>
          <w:sz w:val="24"/>
          <w:szCs w:val="24"/>
        </w:rPr>
        <w:t xml:space="preserve"> un</w:t>
      </w:r>
      <w:r>
        <w:rPr>
          <w:rFonts w:eastAsia="Arial" w:cs="Arial" w:ascii="Arial" w:hAnsi="Arial"/>
          <w:sz w:val="24"/>
          <w:szCs w:val="24"/>
        </w:rPr>
        <w:t>i</w:t>
      </w:r>
      <w:r>
        <w:rPr>
          <w:rFonts w:eastAsia="Arial" w:cs="Arial" w:ascii="Arial" w:hAnsi="Arial"/>
          <w:spacing w:val="4"/>
          <w:sz w:val="24"/>
          <w:szCs w:val="24"/>
        </w:rPr>
        <w:t>t</w:t>
      </w:r>
      <w:r>
        <w:rPr>
          <w:rFonts w:eastAsia="Arial" w:cs="Arial" w:ascii="Arial" w:hAnsi="Arial"/>
          <w:spacing w:val="-1"/>
          <w:sz w:val="24"/>
          <w:szCs w:val="24"/>
        </w:rPr>
        <w:t>a</w:t>
      </w:r>
      <w:r>
        <w:rPr>
          <w:rFonts w:eastAsia="Arial" w:cs="Arial" w:ascii="Arial" w:hAnsi="Arial"/>
          <w:spacing w:val="3"/>
          <w:sz w:val="24"/>
          <w:szCs w:val="24"/>
        </w:rPr>
        <w:t>r</w:t>
      </w:r>
      <w:r>
        <w:rPr>
          <w:rFonts w:eastAsia="Arial" w:cs="Arial" w:ascii="Arial" w:hAnsi="Arial"/>
          <w:sz w:val="24"/>
          <w:szCs w:val="24"/>
        </w:rPr>
        <w:t xml:space="preserve">, </w:t>
      </w:r>
      <w:r>
        <w:rPr>
          <w:rFonts w:eastAsia="Arial" w:cs="Arial" w:ascii="Arial" w:hAnsi="Arial"/>
          <w:spacing w:val="-1"/>
          <w:sz w:val="24"/>
          <w:szCs w:val="24"/>
        </w:rPr>
        <w:t>d</w:t>
      </w:r>
      <w:r>
        <w:rPr>
          <w:rFonts w:eastAsia="Arial" w:cs="Arial" w:ascii="Arial" w:hAnsi="Arial"/>
          <w:sz w:val="24"/>
          <w:szCs w:val="24"/>
        </w:rPr>
        <w:t>e</w:t>
      </w:r>
      <w:r>
        <w:rPr>
          <w:rFonts w:eastAsia="Arial" w:cs="Arial" w:ascii="Arial" w:hAnsi="Arial"/>
          <w:spacing w:val="-1"/>
          <w:sz w:val="24"/>
          <w:szCs w:val="24"/>
        </w:rPr>
        <w:t xml:space="preserve"> u</w:t>
      </w:r>
      <w:r>
        <w:rPr>
          <w:rFonts w:eastAsia="Arial" w:cs="Arial" w:ascii="Arial" w:hAnsi="Arial"/>
          <w:sz w:val="24"/>
          <w:szCs w:val="24"/>
        </w:rPr>
        <w:t>n</w:t>
      </w:r>
      <w:r>
        <w:rPr>
          <w:rFonts w:eastAsia="Arial" w:cs="Arial" w:ascii="Arial" w:hAnsi="Arial"/>
          <w:spacing w:val="-5"/>
          <w:sz w:val="24"/>
          <w:szCs w:val="24"/>
        </w:rPr>
        <w:t xml:space="preserve"> </w:t>
      </w:r>
      <w:r>
        <w:rPr>
          <w:rFonts w:eastAsia="Arial" w:cs="Arial" w:ascii="Arial" w:hAnsi="Arial"/>
          <w:spacing w:val="4"/>
          <w:sz w:val="24"/>
          <w:szCs w:val="24"/>
        </w:rPr>
        <w:t>C</w:t>
      </w:r>
      <w:r>
        <w:rPr>
          <w:rFonts w:eastAsia="Arial" w:cs="Arial" w:ascii="Arial" w:hAnsi="Arial"/>
          <w:spacing w:val="-1"/>
          <w:sz w:val="24"/>
          <w:szCs w:val="24"/>
        </w:rPr>
        <w:t>on</w:t>
      </w:r>
      <w:r>
        <w:rPr>
          <w:rFonts w:eastAsia="Arial" w:cs="Arial" w:ascii="Arial" w:hAnsi="Arial"/>
          <w:sz w:val="24"/>
          <w:szCs w:val="24"/>
        </w:rPr>
        <w:t>si</w:t>
      </w:r>
      <w:r>
        <w:rPr>
          <w:rFonts w:eastAsia="Arial" w:cs="Arial" w:ascii="Arial" w:hAnsi="Arial"/>
          <w:spacing w:val="1"/>
          <w:sz w:val="24"/>
          <w:szCs w:val="24"/>
        </w:rPr>
        <w:t>l</w:t>
      </w:r>
      <w:r>
        <w:rPr>
          <w:rFonts w:eastAsia="Arial" w:cs="Arial" w:ascii="Arial" w:hAnsi="Arial"/>
          <w:spacing w:val="5"/>
          <w:sz w:val="24"/>
          <w:szCs w:val="24"/>
        </w:rPr>
        <w:t>i</w:t>
      </w:r>
      <w:r>
        <w:rPr>
          <w:rFonts w:eastAsia="Arial" w:cs="Arial" w:ascii="Arial" w:hAnsi="Arial"/>
          <w:sz w:val="24"/>
          <w:szCs w:val="24"/>
        </w:rPr>
        <w:t>u</w:t>
      </w:r>
      <w:r>
        <w:rPr>
          <w:rFonts w:eastAsia="Arial" w:cs="Arial" w:ascii="Arial" w:hAnsi="Arial"/>
          <w:spacing w:val="-12"/>
          <w:sz w:val="24"/>
          <w:szCs w:val="24"/>
        </w:rPr>
        <w:t xml:space="preserve"> </w:t>
      </w:r>
      <w:r>
        <w:rPr>
          <w:rFonts w:eastAsia="Arial" w:cs="Arial" w:ascii="Arial" w:hAnsi="Arial"/>
          <w:spacing w:val="3"/>
          <w:sz w:val="24"/>
          <w:szCs w:val="24"/>
        </w:rPr>
        <w:t>d</w:t>
      </w:r>
      <w:r>
        <w:rPr>
          <w:rFonts w:eastAsia="Arial" w:cs="Arial" w:ascii="Arial" w:hAnsi="Arial"/>
          <w:sz w:val="24"/>
          <w:szCs w:val="24"/>
        </w:rPr>
        <w:t>e</w:t>
      </w:r>
      <w:r>
        <w:rPr>
          <w:rFonts w:eastAsia="Arial" w:cs="Arial" w:ascii="Arial" w:hAnsi="Arial"/>
          <w:spacing w:val="-5"/>
          <w:sz w:val="24"/>
          <w:szCs w:val="24"/>
        </w:rPr>
        <w:t xml:space="preserve"> </w:t>
      </w:r>
      <w:r>
        <w:rPr>
          <w:rFonts w:eastAsia="Arial" w:cs="Arial" w:ascii="Arial" w:hAnsi="Arial"/>
          <w:spacing w:val="1"/>
          <w:sz w:val="24"/>
          <w:szCs w:val="24"/>
        </w:rPr>
        <w:t>A</w:t>
      </w:r>
      <w:r>
        <w:rPr>
          <w:rFonts w:eastAsia="Arial" w:cs="Arial" w:ascii="Arial" w:hAnsi="Arial"/>
          <w:spacing w:val="-1"/>
          <w:sz w:val="24"/>
          <w:szCs w:val="24"/>
        </w:rPr>
        <w:t>d</w:t>
      </w:r>
      <w:r>
        <w:rPr>
          <w:rFonts w:eastAsia="Arial" w:cs="Arial" w:ascii="Arial" w:hAnsi="Arial"/>
          <w:spacing w:val="3"/>
          <w:sz w:val="24"/>
          <w:szCs w:val="24"/>
        </w:rPr>
        <w:t>m</w:t>
      </w:r>
      <w:r>
        <w:rPr>
          <w:rFonts w:eastAsia="Arial" w:cs="Arial" w:ascii="Arial" w:hAnsi="Arial"/>
          <w:sz w:val="24"/>
          <w:szCs w:val="24"/>
        </w:rPr>
        <w:t>ini</w:t>
      </w:r>
      <w:r>
        <w:rPr>
          <w:rFonts w:eastAsia="Arial" w:cs="Arial" w:ascii="Arial" w:hAnsi="Arial"/>
          <w:spacing w:val="4"/>
          <w:sz w:val="24"/>
          <w:szCs w:val="24"/>
        </w:rPr>
        <w:t>s</w:t>
      </w:r>
      <w:r>
        <w:rPr>
          <w:rFonts w:eastAsia="Arial" w:cs="Arial" w:ascii="Arial" w:hAnsi="Arial"/>
          <w:sz w:val="24"/>
          <w:szCs w:val="24"/>
        </w:rPr>
        <w:t>t</w:t>
      </w:r>
      <w:r>
        <w:rPr>
          <w:rFonts w:eastAsia="Arial" w:cs="Arial" w:ascii="Arial" w:hAnsi="Arial"/>
          <w:spacing w:val="-2"/>
          <w:sz w:val="24"/>
          <w:szCs w:val="24"/>
        </w:rPr>
        <w:t>r</w:t>
      </w:r>
      <w:r>
        <w:rPr>
          <w:rFonts w:eastAsia="Arial" w:cs="Arial" w:ascii="Arial" w:hAnsi="Arial"/>
          <w:spacing w:val="3"/>
          <w:sz w:val="24"/>
          <w:szCs w:val="24"/>
        </w:rPr>
        <w:t>a</w:t>
      </w:r>
      <w:r>
        <w:rPr>
          <w:rFonts w:eastAsia="Arial" w:cs="Arial" w:ascii="Arial" w:hAnsi="Arial"/>
          <w:sz w:val="24"/>
          <w:szCs w:val="24"/>
        </w:rPr>
        <w:t>ţi</w:t>
      </w:r>
      <w:r>
        <w:rPr>
          <w:rFonts w:eastAsia="Arial" w:cs="Arial" w:ascii="Arial" w:hAnsi="Arial"/>
          <w:spacing w:val="-1"/>
          <w:sz w:val="24"/>
          <w:szCs w:val="24"/>
        </w:rPr>
        <w:t>e</w:t>
      </w:r>
      <w:r>
        <w:rPr>
          <w:rFonts w:eastAsia="Arial" w:cs="Arial" w:ascii="Arial" w:hAnsi="Arial"/>
          <w:spacing w:val="9"/>
          <w:sz w:val="24"/>
          <w:szCs w:val="24"/>
        </w:rPr>
        <w:t xml:space="preserve"> </w:t>
      </w:r>
      <w:r>
        <w:rPr>
          <w:rFonts w:eastAsia="Arial" w:cs="Arial" w:ascii="Arial" w:hAnsi="Arial"/>
          <w:sz w:val="24"/>
          <w:szCs w:val="24"/>
        </w:rPr>
        <w:t>f</w:t>
      </w:r>
      <w:r>
        <w:rPr>
          <w:rFonts w:eastAsia="Arial" w:cs="Arial" w:ascii="Arial" w:hAnsi="Arial"/>
          <w:spacing w:val="3"/>
          <w:sz w:val="24"/>
          <w:szCs w:val="24"/>
        </w:rPr>
        <w:t>o</w:t>
      </w:r>
      <w:r>
        <w:rPr>
          <w:rFonts w:eastAsia="Arial" w:cs="Arial" w:ascii="Arial" w:hAnsi="Arial"/>
          <w:spacing w:val="-1"/>
          <w:sz w:val="24"/>
          <w:szCs w:val="24"/>
        </w:rPr>
        <w:t>r</w:t>
      </w:r>
      <w:r>
        <w:rPr>
          <w:rFonts w:eastAsia="Arial" w:cs="Arial" w:ascii="Arial" w:hAnsi="Arial"/>
          <w:spacing w:val="3"/>
          <w:sz w:val="24"/>
          <w:szCs w:val="24"/>
        </w:rPr>
        <w:t>m</w:t>
      </w:r>
      <w:r>
        <w:rPr>
          <w:rFonts w:eastAsia="Arial" w:cs="Arial" w:ascii="Arial" w:hAnsi="Arial"/>
          <w:spacing w:val="-1"/>
          <w:sz w:val="24"/>
          <w:szCs w:val="24"/>
        </w:rPr>
        <w:t>a</w:t>
      </w:r>
      <w:r>
        <w:rPr>
          <w:rFonts w:eastAsia="Arial" w:cs="Arial" w:ascii="Arial" w:hAnsi="Arial"/>
          <w:sz w:val="24"/>
          <w:szCs w:val="24"/>
        </w:rPr>
        <w:t xml:space="preserve">t </w:t>
      </w:r>
      <w:r>
        <w:rPr>
          <w:rFonts w:eastAsia="Arial" w:cs="Arial" w:ascii="Arial" w:hAnsi="Arial"/>
          <w:spacing w:val="-1"/>
          <w:sz w:val="24"/>
          <w:szCs w:val="24"/>
        </w:rPr>
        <w:t>d</w:t>
      </w:r>
      <w:r>
        <w:rPr>
          <w:rFonts w:eastAsia="Arial" w:cs="Arial" w:ascii="Arial" w:hAnsi="Arial"/>
          <w:sz w:val="24"/>
          <w:szCs w:val="24"/>
        </w:rPr>
        <w:t>in</w:t>
      </w:r>
      <w:r>
        <w:rPr>
          <w:rFonts w:eastAsia="Arial" w:cs="Arial" w:ascii="Arial" w:hAnsi="Arial"/>
          <w:spacing w:val="4"/>
          <w:sz w:val="24"/>
          <w:szCs w:val="24"/>
        </w:rPr>
        <w:t xml:space="preserve"> trei </w:t>
      </w:r>
      <w:r>
        <w:rPr>
          <w:rFonts w:eastAsia="Arial" w:cs="Arial" w:ascii="Arial" w:hAnsi="Arial"/>
          <w:spacing w:val="3"/>
          <w:sz w:val="24"/>
          <w:szCs w:val="24"/>
        </w:rPr>
        <w:t>m</w:t>
      </w:r>
      <w:r>
        <w:rPr>
          <w:rFonts w:eastAsia="Arial" w:cs="Arial" w:ascii="Arial" w:hAnsi="Arial"/>
          <w:spacing w:val="-1"/>
          <w:sz w:val="24"/>
          <w:szCs w:val="24"/>
        </w:rPr>
        <w:t>e</w:t>
      </w:r>
      <w:r>
        <w:rPr>
          <w:rFonts w:eastAsia="Arial" w:cs="Arial" w:ascii="Arial" w:hAnsi="Arial"/>
          <w:spacing w:val="3"/>
          <w:sz w:val="24"/>
          <w:szCs w:val="24"/>
        </w:rPr>
        <w:t>m</w:t>
      </w:r>
      <w:r>
        <w:rPr>
          <w:rFonts w:eastAsia="Arial" w:cs="Arial" w:ascii="Arial" w:hAnsi="Arial"/>
          <w:spacing w:val="-1"/>
          <w:sz w:val="24"/>
          <w:szCs w:val="24"/>
        </w:rPr>
        <w:t>br</w:t>
      </w:r>
      <w:r>
        <w:rPr>
          <w:rFonts w:eastAsia="Arial" w:cs="Arial" w:ascii="Arial" w:hAnsi="Arial"/>
          <w:spacing w:val="5"/>
          <w:sz w:val="24"/>
          <w:szCs w:val="24"/>
        </w:rPr>
        <w:t>i.</w:t>
      </w:r>
      <w:r>
        <w:rPr>
          <w:rFonts w:eastAsia="Arial" w:cs="Arial" w:ascii="Arial" w:hAnsi="Arial"/>
          <w:sz w:val="24"/>
          <w:szCs w:val="24"/>
        </w:rPr>
        <w:t xml:space="preserve"> </w:t>
      </w:r>
      <w:r>
        <w:rPr>
          <w:rFonts w:eastAsia="Arial" w:cs="Arial" w:ascii="Arial" w:hAnsi="Arial"/>
          <w:spacing w:val="5"/>
          <w:sz w:val="24"/>
          <w:szCs w:val="24"/>
        </w:rPr>
        <w:t>D</w:t>
      </w:r>
      <w:r>
        <w:rPr>
          <w:rFonts w:eastAsia="Arial" w:cs="Arial" w:ascii="Arial" w:hAnsi="Arial"/>
          <w:spacing w:val="-2"/>
          <w:sz w:val="24"/>
          <w:szCs w:val="24"/>
        </w:rPr>
        <w:t>u</w:t>
      </w:r>
      <w:r>
        <w:rPr>
          <w:rFonts w:eastAsia="Arial" w:cs="Arial" w:ascii="Arial" w:hAnsi="Arial"/>
          <w:spacing w:val="2"/>
          <w:sz w:val="24"/>
          <w:szCs w:val="24"/>
        </w:rPr>
        <w:t>r</w:t>
      </w:r>
      <w:r>
        <w:rPr>
          <w:rFonts w:eastAsia="Arial" w:cs="Arial" w:ascii="Arial" w:hAnsi="Arial"/>
          <w:sz w:val="24"/>
          <w:szCs w:val="24"/>
        </w:rPr>
        <w:t>a</w:t>
      </w:r>
      <w:r>
        <w:rPr>
          <w:rFonts w:eastAsia="Arial" w:cs="Arial" w:ascii="Arial" w:hAnsi="Arial"/>
          <w:spacing w:val="3"/>
          <w:sz w:val="24"/>
          <w:szCs w:val="24"/>
        </w:rPr>
        <w:t>t</w:t>
      </w:r>
      <w:r>
        <w:rPr>
          <w:rFonts w:eastAsia="Arial" w:cs="Arial" w:ascii="Arial" w:hAnsi="Arial"/>
          <w:sz w:val="24"/>
          <w:szCs w:val="24"/>
        </w:rPr>
        <w:t>a</w:t>
      </w:r>
      <w:r>
        <w:rPr>
          <w:rFonts w:eastAsia="Arial" w:cs="Arial" w:ascii="Arial" w:hAnsi="Arial"/>
          <w:spacing w:val="3"/>
          <w:sz w:val="24"/>
          <w:szCs w:val="24"/>
        </w:rPr>
        <w:t xml:space="preserve"> </w:t>
      </w:r>
      <w:r>
        <w:rPr>
          <w:rFonts w:eastAsia="Arial" w:cs="Arial" w:ascii="Arial" w:hAnsi="Arial"/>
          <w:spacing w:val="2"/>
          <w:sz w:val="24"/>
          <w:szCs w:val="24"/>
        </w:rPr>
        <w:t>m</w:t>
      </w:r>
      <w:r>
        <w:rPr>
          <w:rFonts w:eastAsia="Arial" w:cs="Arial" w:ascii="Arial" w:hAnsi="Arial"/>
          <w:spacing w:val="3"/>
          <w:sz w:val="24"/>
          <w:szCs w:val="24"/>
        </w:rPr>
        <w:t>an</w:t>
      </w:r>
      <w:r>
        <w:rPr>
          <w:rFonts w:eastAsia="Arial" w:cs="Arial" w:ascii="Arial" w:hAnsi="Arial"/>
          <w:spacing w:val="-2"/>
          <w:sz w:val="24"/>
          <w:szCs w:val="24"/>
        </w:rPr>
        <w:t>d</w:t>
      </w:r>
      <w:r>
        <w:rPr>
          <w:rFonts w:eastAsia="Arial" w:cs="Arial" w:ascii="Arial" w:hAnsi="Arial"/>
          <w:spacing w:val="-1"/>
          <w:sz w:val="24"/>
          <w:szCs w:val="24"/>
        </w:rPr>
        <w:t>a</w:t>
      </w:r>
      <w:r>
        <w:rPr>
          <w:rFonts w:eastAsia="Arial" w:cs="Arial" w:ascii="Arial" w:hAnsi="Arial"/>
          <w:spacing w:val="3"/>
          <w:sz w:val="24"/>
          <w:szCs w:val="24"/>
        </w:rPr>
        <w:t>t</w:t>
      </w:r>
      <w:r>
        <w:rPr>
          <w:rFonts w:eastAsia="Arial" w:cs="Arial" w:ascii="Arial" w:hAnsi="Arial"/>
          <w:spacing w:val="-2"/>
          <w:sz w:val="24"/>
          <w:szCs w:val="24"/>
        </w:rPr>
        <w:t>u</w:t>
      </w:r>
      <w:r>
        <w:rPr>
          <w:rFonts w:eastAsia="Arial" w:cs="Arial" w:ascii="Arial" w:hAnsi="Arial"/>
          <w:spacing w:val="4"/>
          <w:sz w:val="24"/>
          <w:szCs w:val="24"/>
        </w:rPr>
        <w:t>l</w:t>
      </w:r>
      <w:r>
        <w:rPr>
          <w:rFonts w:eastAsia="Arial" w:cs="Arial" w:ascii="Arial" w:hAnsi="Arial"/>
          <w:spacing w:val="-2"/>
          <w:sz w:val="24"/>
          <w:szCs w:val="24"/>
        </w:rPr>
        <w:t>u</w:t>
      </w:r>
      <w:r>
        <w:rPr>
          <w:rFonts w:eastAsia="Arial" w:cs="Arial" w:ascii="Arial" w:hAnsi="Arial"/>
          <w:sz w:val="24"/>
          <w:szCs w:val="24"/>
        </w:rPr>
        <w:t xml:space="preserve">i </w:t>
      </w:r>
      <w:r>
        <w:rPr>
          <w:rFonts w:eastAsia="Arial" w:cs="Arial" w:ascii="Arial" w:hAnsi="Arial"/>
          <w:spacing w:val="3"/>
          <w:sz w:val="24"/>
          <w:szCs w:val="24"/>
        </w:rPr>
        <w:t>m</w:t>
      </w:r>
      <w:r>
        <w:rPr>
          <w:rFonts w:eastAsia="Arial" w:cs="Arial" w:ascii="Arial" w:hAnsi="Arial"/>
          <w:spacing w:val="-1"/>
          <w:sz w:val="24"/>
          <w:szCs w:val="24"/>
        </w:rPr>
        <w:t>e</w:t>
      </w:r>
      <w:r>
        <w:rPr>
          <w:rFonts w:eastAsia="Arial" w:cs="Arial" w:ascii="Arial" w:hAnsi="Arial"/>
          <w:spacing w:val="3"/>
          <w:sz w:val="24"/>
          <w:szCs w:val="24"/>
        </w:rPr>
        <w:t>mb</w:t>
      </w:r>
      <w:r>
        <w:rPr>
          <w:rFonts w:eastAsia="Arial" w:cs="Arial" w:ascii="Arial" w:hAnsi="Arial"/>
          <w:spacing w:val="-1"/>
          <w:sz w:val="24"/>
          <w:szCs w:val="24"/>
        </w:rPr>
        <w:t>r</w:t>
      </w:r>
      <w:r>
        <w:rPr>
          <w:rFonts w:eastAsia="Arial" w:cs="Arial" w:ascii="Arial" w:hAnsi="Arial"/>
          <w:sz w:val="24"/>
          <w:szCs w:val="24"/>
        </w:rPr>
        <w:t>i</w:t>
      </w:r>
      <w:r>
        <w:rPr>
          <w:rFonts w:eastAsia="Arial" w:cs="Arial" w:ascii="Arial" w:hAnsi="Arial"/>
          <w:spacing w:val="1"/>
          <w:sz w:val="24"/>
          <w:szCs w:val="24"/>
        </w:rPr>
        <w:t>l</w:t>
      </w:r>
      <w:r>
        <w:rPr>
          <w:rFonts w:eastAsia="Arial" w:cs="Arial" w:ascii="Arial" w:hAnsi="Arial"/>
          <w:spacing w:val="3"/>
          <w:sz w:val="24"/>
          <w:szCs w:val="24"/>
        </w:rPr>
        <w:t>o</w:t>
      </w:r>
      <w:r>
        <w:rPr>
          <w:rFonts w:eastAsia="Arial" w:cs="Arial" w:ascii="Arial" w:hAnsi="Arial"/>
          <w:sz w:val="24"/>
          <w:szCs w:val="24"/>
        </w:rPr>
        <w:t>r</w:t>
      </w:r>
      <w:r>
        <w:rPr>
          <w:rFonts w:eastAsia="Arial" w:cs="Arial" w:ascii="Arial" w:hAnsi="Arial"/>
          <w:spacing w:val="5"/>
          <w:sz w:val="24"/>
          <w:szCs w:val="24"/>
        </w:rPr>
        <w:t xml:space="preserve"> </w:t>
      </w:r>
      <w:r>
        <w:rPr>
          <w:rFonts w:eastAsia="Arial" w:cs="Arial" w:ascii="Arial" w:hAnsi="Arial"/>
          <w:sz w:val="24"/>
          <w:szCs w:val="24"/>
        </w:rPr>
        <w:t>Co</w:t>
      </w:r>
      <w:r>
        <w:rPr>
          <w:rFonts w:eastAsia="Arial" w:cs="Arial" w:ascii="Arial" w:hAnsi="Arial"/>
          <w:spacing w:val="-2"/>
          <w:sz w:val="24"/>
          <w:szCs w:val="24"/>
        </w:rPr>
        <w:t>n</w:t>
      </w:r>
      <w:r>
        <w:rPr>
          <w:rFonts w:eastAsia="Arial" w:cs="Arial" w:ascii="Arial" w:hAnsi="Arial"/>
          <w:sz w:val="24"/>
          <w:szCs w:val="24"/>
        </w:rPr>
        <w:t>si</w:t>
      </w:r>
      <w:r>
        <w:rPr>
          <w:rFonts w:eastAsia="Arial" w:cs="Arial" w:ascii="Arial" w:hAnsi="Arial"/>
          <w:spacing w:val="1"/>
          <w:sz w:val="24"/>
          <w:szCs w:val="24"/>
        </w:rPr>
        <w:t>l</w:t>
      </w:r>
      <w:r>
        <w:rPr>
          <w:rFonts w:eastAsia="Arial" w:cs="Arial" w:ascii="Arial" w:hAnsi="Arial"/>
          <w:sz w:val="24"/>
          <w:szCs w:val="24"/>
        </w:rPr>
        <w:t>iu</w:t>
      </w:r>
      <w:r>
        <w:rPr>
          <w:rFonts w:eastAsia="Arial" w:cs="Arial" w:ascii="Arial" w:hAnsi="Arial"/>
          <w:spacing w:val="4"/>
          <w:sz w:val="24"/>
          <w:szCs w:val="24"/>
        </w:rPr>
        <w:t>l</w:t>
      </w:r>
      <w:r>
        <w:rPr>
          <w:rFonts w:eastAsia="Arial" w:cs="Arial" w:ascii="Arial" w:hAnsi="Arial"/>
          <w:spacing w:val="-1"/>
          <w:sz w:val="24"/>
          <w:szCs w:val="24"/>
        </w:rPr>
        <w:t>u</w:t>
      </w:r>
      <w:r>
        <w:rPr>
          <w:rFonts w:eastAsia="Arial" w:cs="Arial" w:ascii="Arial" w:hAnsi="Arial"/>
          <w:sz w:val="24"/>
          <w:szCs w:val="24"/>
        </w:rPr>
        <w:t>i</w:t>
      </w:r>
      <w:r>
        <w:rPr>
          <w:rFonts w:eastAsia="Arial" w:cs="Arial" w:ascii="Arial" w:hAnsi="Arial"/>
          <w:spacing w:val="5"/>
          <w:sz w:val="24"/>
          <w:szCs w:val="24"/>
        </w:rPr>
        <w:t xml:space="preserve"> </w:t>
      </w:r>
      <w:r>
        <w:rPr>
          <w:rFonts w:eastAsia="Arial" w:cs="Arial" w:ascii="Arial" w:hAnsi="Arial"/>
          <w:spacing w:val="-1"/>
          <w:sz w:val="24"/>
          <w:szCs w:val="24"/>
        </w:rPr>
        <w:t>d</w:t>
      </w:r>
      <w:r>
        <w:rPr>
          <w:rFonts w:eastAsia="Arial" w:cs="Arial" w:ascii="Arial" w:hAnsi="Arial"/>
          <w:sz w:val="24"/>
          <w:szCs w:val="24"/>
        </w:rPr>
        <w:t>e</w:t>
      </w:r>
      <w:r>
        <w:rPr>
          <w:rFonts w:eastAsia="Arial" w:cs="Arial" w:ascii="Arial" w:hAnsi="Arial"/>
          <w:spacing w:val="14"/>
          <w:sz w:val="24"/>
          <w:szCs w:val="24"/>
        </w:rPr>
        <w:t xml:space="preserve"> </w:t>
      </w:r>
      <w:r>
        <w:rPr>
          <w:rFonts w:eastAsia="Arial" w:cs="Arial" w:ascii="Arial" w:hAnsi="Arial"/>
          <w:spacing w:val="-1"/>
          <w:sz w:val="24"/>
          <w:szCs w:val="24"/>
        </w:rPr>
        <w:t>ad</w:t>
      </w:r>
      <w:r>
        <w:rPr>
          <w:rFonts w:eastAsia="Arial" w:cs="Arial" w:ascii="Arial" w:hAnsi="Arial"/>
          <w:spacing w:val="3"/>
          <w:sz w:val="24"/>
          <w:szCs w:val="24"/>
        </w:rPr>
        <w:t>m</w:t>
      </w:r>
      <w:r>
        <w:rPr>
          <w:rFonts w:eastAsia="Arial" w:cs="Arial" w:ascii="Arial" w:hAnsi="Arial"/>
          <w:sz w:val="24"/>
          <w:szCs w:val="24"/>
        </w:rPr>
        <w:t>inis</w:t>
      </w:r>
      <w:r>
        <w:rPr>
          <w:rFonts w:eastAsia="Arial" w:cs="Arial" w:ascii="Arial" w:hAnsi="Arial"/>
          <w:spacing w:val="4"/>
          <w:sz w:val="24"/>
          <w:szCs w:val="24"/>
        </w:rPr>
        <w:t>t</w:t>
      </w:r>
      <w:r>
        <w:rPr>
          <w:rFonts w:eastAsia="Arial" w:cs="Arial" w:ascii="Arial" w:hAnsi="Arial"/>
          <w:spacing w:val="-1"/>
          <w:sz w:val="24"/>
          <w:szCs w:val="24"/>
        </w:rPr>
        <w:t>r</w:t>
      </w:r>
      <w:r>
        <w:rPr>
          <w:rFonts w:eastAsia="Arial" w:cs="Arial" w:ascii="Arial" w:hAnsi="Arial"/>
          <w:spacing w:val="3"/>
          <w:sz w:val="24"/>
          <w:szCs w:val="24"/>
        </w:rPr>
        <w:t>a</w:t>
      </w:r>
      <w:r>
        <w:rPr>
          <w:rFonts w:eastAsia="Arial" w:cs="Arial" w:ascii="Arial" w:hAnsi="Arial"/>
          <w:sz w:val="24"/>
          <w:szCs w:val="24"/>
        </w:rPr>
        <w:t>ţie</w:t>
      </w:r>
      <w:r>
        <w:rPr>
          <w:rFonts w:eastAsia="Arial" w:cs="Arial" w:ascii="Arial" w:hAnsi="Arial"/>
          <w:spacing w:val="1"/>
          <w:sz w:val="24"/>
          <w:szCs w:val="24"/>
        </w:rPr>
        <w:t xml:space="preserve"> </w:t>
      </w:r>
      <w:r>
        <w:rPr>
          <w:rFonts w:eastAsia="Arial" w:cs="Arial" w:ascii="Arial" w:hAnsi="Arial"/>
          <w:spacing w:val="-1"/>
          <w:sz w:val="24"/>
          <w:szCs w:val="24"/>
        </w:rPr>
        <w:t>a</w:t>
      </w:r>
      <w:r>
        <w:rPr>
          <w:rFonts w:eastAsia="Arial" w:cs="Arial" w:ascii="Arial" w:hAnsi="Arial"/>
          <w:sz w:val="24"/>
          <w:szCs w:val="24"/>
        </w:rPr>
        <w:t>l</w:t>
      </w:r>
      <w:r>
        <w:rPr>
          <w:rFonts w:eastAsia="Arial" w:cs="Arial" w:ascii="Arial" w:hAnsi="Arial"/>
          <w:spacing w:val="12"/>
          <w:sz w:val="24"/>
          <w:szCs w:val="24"/>
        </w:rPr>
        <w:t xml:space="preserve"> </w:t>
      </w:r>
      <w:r>
        <w:rPr>
          <w:rFonts w:eastAsia="Arial" w:cs="Arial" w:ascii="Arial" w:hAnsi="Arial"/>
          <w:spacing w:val="4"/>
          <w:w w:val="99"/>
          <w:sz w:val="24"/>
          <w:szCs w:val="24"/>
        </w:rPr>
        <w:t>s</w:t>
      </w:r>
      <w:r>
        <w:rPr>
          <w:rFonts w:eastAsia="Arial" w:cs="Arial" w:ascii="Arial" w:hAnsi="Arial"/>
          <w:spacing w:val="-1"/>
          <w:w w:val="99"/>
          <w:sz w:val="24"/>
          <w:szCs w:val="24"/>
        </w:rPr>
        <w:t>o</w:t>
      </w:r>
      <w:r>
        <w:rPr>
          <w:rFonts w:eastAsia="Arial" w:cs="Arial" w:ascii="Arial" w:hAnsi="Arial"/>
          <w:w w:val="99"/>
          <w:sz w:val="24"/>
          <w:szCs w:val="24"/>
        </w:rPr>
        <w:t>cie</w:t>
      </w:r>
      <w:r>
        <w:rPr>
          <w:rFonts w:eastAsia="Arial" w:cs="Arial" w:ascii="Arial" w:hAnsi="Arial"/>
          <w:spacing w:val="3"/>
          <w:w w:val="99"/>
          <w:sz w:val="24"/>
          <w:szCs w:val="24"/>
        </w:rPr>
        <w:t>t</w:t>
      </w:r>
      <w:r>
        <w:rPr>
          <w:rFonts w:eastAsia="Arial" w:cs="Arial" w:ascii="Arial" w:hAnsi="Arial"/>
          <w:spacing w:val="-1"/>
          <w:w w:val="99"/>
          <w:sz w:val="24"/>
          <w:szCs w:val="24"/>
        </w:rPr>
        <w:t>ă</w:t>
      </w:r>
      <w:r>
        <w:rPr>
          <w:rFonts w:eastAsia="Arial" w:cs="Arial" w:ascii="Arial" w:hAnsi="Arial"/>
          <w:w w:val="99"/>
          <w:sz w:val="24"/>
          <w:szCs w:val="24"/>
        </w:rPr>
        <w:t>ţii</w:t>
      </w:r>
      <w:r>
        <w:rPr>
          <w:rFonts w:eastAsia="Arial" w:cs="Arial" w:ascii="Arial" w:hAnsi="Arial"/>
          <w:sz w:val="24"/>
          <w:szCs w:val="24"/>
        </w:rPr>
        <w:t xml:space="preserve"> </w:t>
      </w:r>
      <w:r>
        <w:rPr>
          <w:rFonts w:eastAsia="Arial" w:cs="Arial" w:ascii="Arial" w:hAnsi="Arial"/>
          <w:spacing w:val="-1"/>
          <w:sz w:val="24"/>
          <w:szCs w:val="24"/>
        </w:rPr>
        <w:t>e</w:t>
      </w:r>
      <w:r>
        <w:rPr>
          <w:rFonts w:eastAsia="Arial" w:cs="Arial" w:ascii="Arial" w:hAnsi="Arial"/>
          <w:sz w:val="24"/>
          <w:szCs w:val="24"/>
        </w:rPr>
        <w:t>ste</w:t>
      </w:r>
      <w:r>
        <w:rPr>
          <w:rFonts w:eastAsia="Arial" w:cs="Arial" w:ascii="Arial" w:hAnsi="Arial"/>
          <w:spacing w:val="-3"/>
          <w:sz w:val="24"/>
          <w:szCs w:val="24"/>
        </w:rPr>
        <w:t xml:space="preserve"> </w:t>
      </w:r>
      <w:r>
        <w:rPr>
          <w:rFonts w:eastAsia="Arial" w:cs="Arial" w:ascii="Arial" w:hAnsi="Arial"/>
          <w:spacing w:val="-1"/>
          <w:sz w:val="24"/>
          <w:szCs w:val="24"/>
        </w:rPr>
        <w:t>d</w:t>
      </w:r>
      <w:r>
        <w:rPr>
          <w:rFonts w:eastAsia="Arial" w:cs="Arial" w:ascii="Arial" w:hAnsi="Arial"/>
          <w:sz w:val="24"/>
          <w:szCs w:val="24"/>
        </w:rPr>
        <w:t>e</w:t>
      </w:r>
      <w:r>
        <w:rPr>
          <w:rFonts w:eastAsia="Arial" w:cs="Arial" w:ascii="Arial" w:hAnsi="Arial"/>
          <w:spacing w:val="76"/>
          <w:sz w:val="24"/>
          <w:szCs w:val="24"/>
        </w:rPr>
        <w:t xml:space="preserve"> </w:t>
      </w:r>
      <w:r>
        <w:rPr>
          <w:rFonts w:eastAsia="Arial" w:cs="Arial" w:ascii="Arial" w:hAnsi="Arial"/>
          <w:spacing w:val="3"/>
          <w:sz w:val="24"/>
          <w:szCs w:val="24"/>
        </w:rPr>
        <w:t>ma</w:t>
      </w:r>
      <w:r>
        <w:rPr>
          <w:rFonts w:eastAsia="Arial" w:cs="Arial" w:ascii="Arial" w:hAnsi="Arial"/>
          <w:spacing w:val="-5"/>
          <w:sz w:val="24"/>
          <w:szCs w:val="24"/>
        </w:rPr>
        <w:t>x</w:t>
      </w:r>
      <w:r>
        <w:rPr>
          <w:rFonts w:eastAsia="Arial" w:cs="Arial" w:ascii="Arial" w:hAnsi="Arial"/>
          <w:sz w:val="24"/>
          <w:szCs w:val="24"/>
        </w:rPr>
        <w:t>im</w:t>
      </w:r>
      <w:r>
        <w:rPr>
          <w:rFonts w:eastAsia="Arial" w:cs="Arial" w:ascii="Arial" w:hAnsi="Arial"/>
          <w:spacing w:val="-5"/>
          <w:sz w:val="24"/>
          <w:szCs w:val="24"/>
        </w:rPr>
        <w:t xml:space="preserve"> </w:t>
      </w:r>
      <w:r>
        <w:rPr>
          <w:rFonts w:eastAsia="Arial" w:cs="Arial" w:ascii="Arial" w:hAnsi="Arial"/>
          <w:sz w:val="24"/>
          <w:szCs w:val="24"/>
        </w:rPr>
        <w:t xml:space="preserve">4 </w:t>
      </w:r>
      <w:r>
        <w:rPr>
          <w:rFonts w:eastAsia="Arial" w:cs="Arial" w:ascii="Arial" w:hAnsi="Arial"/>
          <w:spacing w:val="-1"/>
          <w:sz w:val="24"/>
          <w:szCs w:val="24"/>
        </w:rPr>
        <w:t>an</w:t>
      </w:r>
      <w:r>
        <w:rPr>
          <w:rFonts w:eastAsia="Arial" w:cs="Arial" w:ascii="Arial" w:hAnsi="Arial"/>
          <w:sz w:val="24"/>
          <w:szCs w:val="24"/>
        </w:rPr>
        <w:t>i.</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Heading2"/>
        <w:numPr>
          <w:ilvl w:val="1"/>
          <w:numId w:val="14"/>
        </w:numPr>
        <w:ind w:left="630" w:hanging="630"/>
        <w:jc w:val="both"/>
        <w:rPr>
          <w:rFonts w:ascii="Arial" w:hAnsi="Arial" w:cs="Arial"/>
          <w:b/>
          <w:b/>
          <w:bCs/>
        </w:rPr>
      </w:pPr>
      <w:bookmarkStart w:id="9" w:name="_Toc193471049"/>
      <w:r>
        <w:rPr>
          <w:rFonts w:cs="Arial" w:ascii="Arial" w:hAnsi="Arial"/>
          <w:b/>
          <w:bCs/>
        </w:rPr>
        <w:t>Sectorul şi subsectorul economic în care îşi desfăşoară activitatea întreprinderea publică</w:t>
      </w:r>
      <w:bookmarkEnd w:id="9"/>
    </w:p>
    <w:p>
      <w:pPr>
        <w:pStyle w:val="Normal"/>
        <w:jc w:val="both"/>
        <w:rPr/>
      </w:pPr>
      <w:r>
        <w:rPr/>
      </w:r>
    </w:p>
    <w:p>
      <w:pPr>
        <w:pStyle w:val="Normal"/>
        <w:jc w:val="both"/>
        <w:rPr>
          <w:rFonts w:ascii="Arial" w:hAnsi="Arial" w:cs="Arial"/>
          <w:sz w:val="24"/>
          <w:szCs w:val="24"/>
        </w:rPr>
      </w:pPr>
      <w:r>
        <w:rPr>
          <w:rFonts w:cs="Arial" w:ascii="Arial" w:hAnsi="Arial"/>
          <w:sz w:val="24"/>
          <w:szCs w:val="24"/>
        </w:rPr>
        <w:t>Societatea TRANSPORT PUBLIC S.A. activează în domeniul serviciului de transport urban, suburban și metropolitan de călători.</w:t>
      </w:r>
    </w:p>
    <w:p>
      <w:pPr>
        <w:pStyle w:val="Normal"/>
        <w:jc w:val="both"/>
        <w:rPr>
          <w:rFonts w:ascii="Arial" w:hAnsi="Arial" w:cs="Arial"/>
          <w:sz w:val="24"/>
          <w:szCs w:val="24"/>
        </w:rPr>
      </w:pPr>
      <w:r>
        <w:rPr>
          <w:rFonts w:cs="Arial" w:ascii="Arial" w:hAnsi="Arial"/>
          <w:sz w:val="24"/>
          <w:szCs w:val="24"/>
        </w:rPr>
      </w:r>
    </w:p>
    <w:p>
      <w:pPr>
        <w:pStyle w:val="Heading2"/>
        <w:numPr>
          <w:ilvl w:val="1"/>
          <w:numId w:val="14"/>
        </w:numPr>
        <w:ind w:left="630" w:hanging="630"/>
        <w:jc w:val="both"/>
        <w:rPr>
          <w:rFonts w:ascii="Arial" w:hAnsi="Arial" w:cs="Arial"/>
          <w:b/>
          <w:b/>
          <w:bCs/>
        </w:rPr>
      </w:pPr>
      <w:bookmarkStart w:id="10" w:name="_Toc193471050"/>
      <w:r>
        <w:rPr>
          <w:rFonts w:cs="Arial" w:ascii="Arial" w:hAnsi="Arial"/>
          <w:b/>
          <w:bCs/>
        </w:rPr>
        <w:t>Legislație aplicabilă domeniului de activitate al întreprinderii publice, inclusiv legislația în domeniul guvernanței corporative</w:t>
      </w:r>
      <w:bookmarkEnd w:id="10"/>
    </w:p>
    <w:p>
      <w:pPr>
        <w:pStyle w:val="Normal"/>
        <w:jc w:val="both"/>
        <w:rPr/>
      </w:pPr>
      <w:r>
        <w:rPr/>
      </w:r>
    </w:p>
    <w:p>
      <w:pPr>
        <w:pStyle w:val="BodyText1"/>
        <w:spacing w:lineRule="auto" w:line="276"/>
        <w:jc w:val="both"/>
        <w:rPr>
          <w:rFonts w:ascii="Arial" w:hAnsi="Arial" w:cs="Arial"/>
        </w:rPr>
      </w:pPr>
      <w:r>
        <w:rPr>
          <w:rStyle w:val="Bodytext"/>
          <w:rFonts w:eastAsia="Courier New" w:cs="Arial" w:ascii="Arial" w:hAnsi="Arial"/>
          <w:color w:val="auto"/>
        </w:rPr>
        <w:t>Cadrul legal în baza căruia își desfășoară activitatea societatea :</w:t>
      </w:r>
    </w:p>
    <w:p>
      <w:pPr>
        <w:pStyle w:val="BodyText1"/>
        <w:spacing w:lineRule="auto" w:line="276"/>
        <w:jc w:val="both"/>
        <w:rPr>
          <w:rFonts w:ascii="Arial" w:hAnsi="Arial" w:cs="Arial"/>
          <w:color w:val="auto"/>
        </w:rPr>
      </w:pPr>
      <w:r>
        <w:rPr>
          <w:rFonts w:cs="Arial" w:ascii="Arial" w:hAnsi="Arial"/>
          <w:color w:val="auto"/>
        </w:rPr>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lang w:val="ro-RO"/>
        </w:rPr>
        <w:t>O</w:t>
      </w:r>
      <w:r>
        <w:rPr>
          <w:rStyle w:val="Bodytext"/>
          <w:rFonts w:eastAsia="Courier New" w:cs="Arial" w:ascii="Arial" w:hAnsi="Arial"/>
          <w:color w:val="auto"/>
          <w:lang w:val="ro-RO"/>
        </w:rPr>
        <w:t xml:space="preserve">rdonanța de urgență a </w:t>
      </w:r>
      <w:r>
        <w:rPr>
          <w:rStyle w:val="Bodytext"/>
          <w:rFonts w:eastAsia="Courier New" w:cs="Arial" w:ascii="Arial" w:hAnsi="Arial"/>
          <w:color w:val="auto"/>
          <w:lang w:val="ro-RO"/>
        </w:rPr>
        <w:t>G</w:t>
      </w:r>
      <w:r>
        <w:rPr>
          <w:rStyle w:val="Bodytext"/>
          <w:rFonts w:eastAsia="Courier New" w:cs="Arial" w:ascii="Arial" w:hAnsi="Arial"/>
          <w:color w:val="auto"/>
          <w:lang w:val="ro-RO"/>
        </w:rPr>
        <w:t xml:space="preserve">uvernului </w:t>
      </w:r>
      <w:r>
        <w:rPr>
          <w:rStyle w:val="Bodytext"/>
          <w:rFonts w:eastAsia="Courier New" w:cs="Arial" w:ascii="Arial" w:hAnsi="Arial"/>
          <w:color w:val="auto"/>
        </w:rPr>
        <w:t xml:space="preserve"> nr. 109/2011 privind guvernanța corporativă a întreprinderilor publice, aprobată cu modificări și completări prin Legea nr. 111/2016, cu modificările și completările ulterioare;</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H</w:t>
      </w:r>
      <w:r>
        <w:rPr>
          <w:rStyle w:val="Bodytext"/>
          <w:rFonts w:eastAsia="Courier New" w:cs="Arial" w:ascii="Arial" w:hAnsi="Arial"/>
          <w:color w:val="auto"/>
        </w:rPr>
        <w:t xml:space="preserve">otărârea </w:t>
      </w:r>
      <w:r>
        <w:rPr>
          <w:rStyle w:val="Bodytext"/>
          <w:rFonts w:eastAsia="Courier New" w:cs="Arial" w:ascii="Arial" w:hAnsi="Arial"/>
          <w:color w:val="auto"/>
        </w:rPr>
        <w:t>G</w:t>
      </w:r>
      <w:r>
        <w:rPr>
          <w:rStyle w:val="Bodytext"/>
          <w:rFonts w:eastAsia="Courier New" w:cs="Arial" w:ascii="Arial" w:hAnsi="Arial"/>
          <w:color w:val="auto"/>
        </w:rPr>
        <w:t xml:space="preserve">uvernului </w:t>
      </w:r>
      <w:r>
        <w:rPr>
          <w:rStyle w:val="Bodytext"/>
          <w:rFonts w:eastAsia="Courier New" w:cs="Arial" w:ascii="Arial" w:hAnsi="Arial"/>
          <w:color w:val="auto"/>
        </w:rPr>
        <w:t xml:space="preserve"> nr.</w:t>
      </w:r>
      <w:r>
        <w:rPr>
          <w:rStyle w:val="Bodytext"/>
          <w:rFonts w:eastAsia="Courier New" w:cs="Arial" w:ascii="Arial" w:hAnsi="Arial"/>
          <w:color w:val="auto"/>
        </w:rPr>
        <w:t>639</w:t>
      </w:r>
      <w:r>
        <w:rPr>
          <w:rStyle w:val="Bodytext"/>
          <w:rFonts w:eastAsia="Courier New" w:cs="Arial" w:ascii="Arial" w:hAnsi="Arial"/>
          <w:color w:val="auto"/>
        </w:rPr>
        <w:t>/20</w:t>
      </w:r>
      <w:r>
        <w:rPr>
          <w:rStyle w:val="Bodytext"/>
          <w:rFonts w:eastAsia="Courier New" w:cs="Arial" w:ascii="Arial" w:hAnsi="Arial"/>
          <w:color w:val="auto"/>
        </w:rPr>
        <w:t>23</w:t>
      </w:r>
      <w:r>
        <w:rPr>
          <w:rStyle w:val="Bodytext"/>
          <w:rFonts w:eastAsia="Courier New" w:cs="Arial" w:ascii="Arial" w:hAnsi="Arial"/>
          <w:color w:val="auto"/>
        </w:rPr>
        <w:t xml:space="preserve"> pentru aprobarea Normelor metodologice  </w:t>
      </w:r>
      <w:r>
        <w:rPr>
          <w:rStyle w:val="Bodytext"/>
          <w:rFonts w:eastAsia="Courier New" w:cs="Arial" w:ascii="Arial" w:hAnsi="Arial"/>
          <w:color w:val="auto"/>
        </w:rPr>
        <w:t>din 2023pentru stabilirea criteriilor de selecție a membrilor consiliilor de administrație/supraveghere ale intreprinderilor publice, de întocmire a alistei scurte pentru fiecare post, a aclasamentului acestora,a producerii privind numirile finale, precum și pentru stabilrea altor măsuri necesare implementării preved</w:t>
      </w:r>
      <w:r>
        <w:rPr>
          <w:rStyle w:val="Bodytext"/>
          <w:rFonts w:eastAsia="Courier New" w:cs="Arial" w:ascii="Arial" w:hAnsi="Arial"/>
          <w:color w:val="auto"/>
        </w:rPr>
        <w:t>e</w:t>
      </w:r>
      <w:r>
        <w:rPr>
          <w:rStyle w:val="Bodytext"/>
          <w:rFonts w:eastAsia="Courier New" w:cs="Arial" w:ascii="Arial" w:hAnsi="Arial"/>
          <w:color w:val="auto"/>
        </w:rPr>
        <w:t xml:space="preserve">rilor Ordonanței </w:t>
      </w:r>
      <w:r>
        <w:rPr>
          <w:rStyle w:val="Bodytext"/>
          <w:rFonts w:eastAsia="Courier New" w:cs="Arial" w:ascii="Arial" w:hAnsi="Arial"/>
          <w:color w:val="auto"/>
        </w:rPr>
        <w:t>de urgență a Guvernului nr.109/2011 privind guvernanța corporativă a întreprinderilor publice;</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 xml:space="preserve"> </w:t>
      </w:r>
      <w:r>
        <w:rPr>
          <w:rStyle w:val="Bodytext"/>
          <w:rFonts w:eastAsia="Courier New" w:cs="Arial" w:ascii="Arial" w:hAnsi="Arial"/>
          <w:color w:val="auto"/>
        </w:rPr>
        <w:t xml:space="preserve">Ordonanța de urgență a Guvernului  nr.22/2025 pentru modificarea și completarea </w:t>
      </w:r>
      <w:r>
        <w:rPr>
          <w:rStyle w:val="Bodytext"/>
          <w:rFonts w:eastAsia="Courier New" w:cs="Arial" w:ascii="Arial" w:hAnsi="Arial"/>
          <w:color w:val="auto"/>
          <w:lang w:val="ro-RO"/>
        </w:rPr>
        <w:t xml:space="preserve">Ordonanței  de urgență a Guvernului </w:t>
      </w:r>
      <w:r>
        <w:rPr>
          <w:rStyle w:val="Bodytext"/>
          <w:rFonts w:eastAsia="Courier New" w:cs="Arial" w:ascii="Arial" w:hAnsi="Arial"/>
          <w:color w:val="auto"/>
        </w:rPr>
        <w:t xml:space="preserve"> nr. 109/2011 privind guvernanța corporativă a întreprinderilor publice;</w:t>
      </w:r>
    </w:p>
    <w:p>
      <w:pPr>
        <w:pStyle w:val="BodyText1"/>
        <w:numPr>
          <w:ilvl w:val="0"/>
          <w:numId w:val="16"/>
        </w:numPr>
        <w:spacing w:lineRule="auto" w:line="276"/>
        <w:jc w:val="both"/>
        <w:rPr>
          <w:lang w:val="en-US"/>
        </w:rPr>
      </w:pPr>
      <w:r>
        <w:rPr>
          <w:rFonts w:ascii="Arial" w:hAnsi="Arial"/>
          <w:lang w:val="en-US"/>
        </w:rPr>
        <w:t>Legea nr.340/2025 privind aprobarea Politicii publice de proprietate</w:t>
      </w:r>
      <w:r>
        <w:rPr>
          <w:lang w:val="en-US"/>
        </w:rPr>
        <w:t xml:space="preserve"> privat</w:t>
      </w:r>
      <w:r>
        <w:rPr>
          <w:lang w:val="ro-RO"/>
        </w:rPr>
        <w:t>ă</w:t>
      </w:r>
      <w:r>
        <w:rPr>
          <w:lang w:val="en-US"/>
        </w:rPr>
        <w:t xml:space="preserve"> a statului</w:t>
      </w:r>
      <w:r>
        <w:rPr>
          <w:lang w:val="ro-RO"/>
        </w:rPr>
        <w:t>;</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Legea nr. 31/1990 privind societățile, republicată, cu modificările și completările ulterioare;</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Legea nr. 51/2006 a serviciilor comunitare de utilități publice, republicată, cu modificările și completările ulterioare;</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Legea nr. 92/2007 a serviciilor publice de transport persoane în unitățile administrativ-teritoriale, cu modificările și completările ulterioare;</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Ordinul Ministrului Transporturilor nr. 972/2007 pentru aprobarea Regulamentului-cadru pentru efectuarea transportului public local și a Caietului de sarcini-cadru al serviciilor de transport public local;</w:t>
      </w:r>
    </w:p>
    <w:p>
      <w:pPr>
        <w:pStyle w:val="BodyText1"/>
        <w:numPr>
          <w:ilvl w:val="0"/>
          <w:numId w:val="16"/>
        </w:numPr>
        <w:spacing w:lineRule="auto" w:line="276"/>
        <w:jc w:val="both"/>
        <w:rPr>
          <w:rFonts w:ascii="Arial" w:hAnsi="Arial" w:cs="Arial"/>
        </w:rPr>
      </w:pPr>
      <w:r>
        <w:rPr>
          <w:rStyle w:val="Bodytext"/>
          <w:rFonts w:eastAsia="Courier New" w:cs="Arial" w:ascii="Arial" w:hAnsi="Arial"/>
          <w:color w:val="auto"/>
        </w:rPr>
        <w:t>Ordinul 236/2013 de modificare a tarifelor de acordare și menținere a licențelor/autorizațiilor eliberate în domeniul serviciilor comunitare de utilități publice.</w:t>
      </w:r>
    </w:p>
    <w:p>
      <w:pPr>
        <w:pStyle w:val="Normal"/>
        <w:jc w:val="both"/>
        <w:rPr>
          <w:rFonts w:ascii="Arial" w:hAnsi="Arial" w:cs="Arial"/>
          <w:sz w:val="24"/>
          <w:szCs w:val="24"/>
        </w:rPr>
      </w:pPr>
      <w:r>
        <w:rPr>
          <w:rFonts w:cs="Arial" w:ascii="Arial" w:hAnsi="Arial"/>
          <w:sz w:val="24"/>
          <w:szCs w:val="24"/>
        </w:rPr>
      </w:r>
      <w:r>
        <w:br w:type="page"/>
      </w:r>
    </w:p>
    <w:p>
      <w:pPr>
        <w:pStyle w:val="Heading1"/>
        <w:numPr>
          <w:ilvl w:val="0"/>
          <w:numId w:val="24"/>
        </w:numPr>
        <w:ind w:left="0" w:hanging="0"/>
        <w:jc w:val="both"/>
        <w:rPr>
          <w:rFonts w:ascii="Arial" w:hAnsi="Arial" w:cs="Arial"/>
          <w:b/>
          <w:b/>
          <w:bCs/>
          <w:color w:val="auto"/>
        </w:rPr>
      </w:pPr>
      <w:bookmarkStart w:id="11" w:name="_Toc193471051"/>
      <w:r>
        <w:rPr>
          <w:rFonts w:cs="Arial" w:ascii="Arial" w:hAnsi="Arial"/>
          <w:b/>
          <w:bCs/>
          <w:color w:val="auto"/>
        </w:rPr>
        <w:t>Cadrul strategic</w:t>
      </w:r>
      <w:bookmarkEnd w:id="11"/>
    </w:p>
    <w:p>
      <w:pPr>
        <w:pStyle w:val="Normal"/>
        <w:jc w:val="both"/>
        <w:rPr>
          <w:rFonts w:ascii="Arial" w:hAnsi="Arial" w:cs="Arial"/>
        </w:rPr>
      </w:pPr>
      <w:r>
        <w:rPr>
          <w:rFonts w:cs="Arial" w:ascii="Arial" w:hAnsi="Arial"/>
        </w:rPr>
      </w:r>
    </w:p>
    <w:p>
      <w:pPr>
        <w:pStyle w:val="Heading2"/>
        <w:numPr>
          <w:ilvl w:val="1"/>
          <w:numId w:val="15"/>
        </w:numPr>
        <w:tabs>
          <w:tab w:val="clear" w:pos="708"/>
          <w:tab w:val="left" w:pos="0" w:leader="none"/>
        </w:tabs>
        <w:ind w:left="360" w:hanging="450"/>
        <w:jc w:val="both"/>
        <w:rPr>
          <w:rFonts w:ascii="Arial" w:hAnsi="Arial" w:cs="Arial"/>
          <w:b/>
          <w:b/>
          <w:bCs/>
        </w:rPr>
      </w:pPr>
      <w:bookmarkStart w:id="12" w:name="_Toc193471052"/>
      <w:r>
        <w:rPr>
          <w:rFonts w:cs="Arial" w:ascii="Arial" w:hAnsi="Arial"/>
          <w:b/>
          <w:bCs/>
        </w:rPr>
        <w:t>Sinteza strategiilor/obiectivelor europene (inclusiv cele care decurg din PNRR), în domeniul în care acționează întreprinderea publică</w:t>
      </w:r>
      <w:bookmarkEnd w:id="12"/>
    </w:p>
    <w:p>
      <w:pPr>
        <w:pStyle w:val="Normal"/>
        <w:jc w:val="both"/>
        <w:rPr/>
      </w:pPr>
      <w:r>
        <w:rPr/>
      </w:r>
    </w:p>
    <w:p>
      <w:pPr>
        <w:pStyle w:val="BodyText1"/>
        <w:spacing w:lineRule="auto" w:line="276" w:before="0" w:after="120"/>
        <w:ind w:hanging="0"/>
        <w:jc w:val="both"/>
        <w:rPr>
          <w:rFonts w:ascii="Arial" w:hAnsi="Arial" w:cs="Arial"/>
        </w:rPr>
      </w:pPr>
      <w:r>
        <w:rPr>
          <w:rStyle w:val="Bodytext"/>
          <w:rFonts w:eastAsia="Courier New" w:cs="Arial" w:ascii="Arial" w:hAnsi="Arial"/>
        </w:rPr>
        <w:t xml:space="preserve">Comisia Europeană a prezentat la sfârșitul anului 2020 ”Strategia pentru o mobilitate sustenabilă și inteligentă”, însoțită de un plan de acțiune care cuprinde 82 de inițiative care vor ghida activitatea Uniunii Europene în următorii ani. Conform unui comunicat al Executivului european, această strategie pune bazele procesului prin care sistemul de transport al Uniunii își poate realiza transformarea verde și digitală și poate deveni mai rezilient în fața viitoarelor crize. </w:t>
      </w:r>
    </w:p>
    <w:p>
      <w:pPr>
        <w:pStyle w:val="BodyText1"/>
        <w:spacing w:lineRule="auto" w:line="276" w:before="0" w:after="120"/>
        <w:ind w:hanging="0"/>
        <w:jc w:val="both"/>
        <w:rPr>
          <w:rFonts w:ascii="Arial" w:hAnsi="Arial" w:cs="Arial"/>
        </w:rPr>
      </w:pPr>
      <w:r>
        <w:rPr>
          <w:rStyle w:val="Bodytext"/>
          <w:rFonts w:eastAsia="Courier New" w:cs="Arial" w:ascii="Arial" w:hAnsi="Arial"/>
        </w:rPr>
        <w:t>Potrivit precizărilor din Pactul Ecologic European rezultatul va fi o reducere cu 90% a emisiilor până în 2050, obținută grație unui sistem de transport inteligent, competitiv, sigur, accesibil și la prețuri abordabile.</w:t>
      </w:r>
    </w:p>
    <w:p>
      <w:pPr>
        <w:pStyle w:val="Normal"/>
        <w:jc w:val="both"/>
        <w:rPr>
          <w:rFonts w:ascii="Arial" w:hAnsi="Arial" w:cs="Arial"/>
          <w:sz w:val="24"/>
          <w:szCs w:val="24"/>
        </w:rPr>
      </w:pPr>
      <w:r>
        <w:rPr>
          <w:rFonts w:cs="Arial" w:ascii="Arial" w:hAnsi="Arial"/>
          <w:b/>
          <w:sz w:val="24"/>
          <w:szCs w:val="24"/>
        </w:rPr>
        <w:t>Strategia Energetică a României 2019-2030, cu perspectiva anului 2050</w:t>
      </w:r>
      <w:r>
        <w:rPr>
          <w:rFonts w:cs="Arial" w:ascii="Arial" w:hAnsi="Arial"/>
          <w:sz w:val="24"/>
          <w:szCs w:val="24"/>
        </w:rPr>
        <w:t xml:space="preserve"> este un document programatic care definește viziunea și stabilește obiectivele fundamentale ale procesului de dezvoltare a sectorului energetic. De asemenea, documentul indică reperele naționale, europene și globale care influențează și determină politicile și deciziile din domeniul energetic. </w:t>
      </w:r>
    </w:p>
    <w:p>
      <w:pPr>
        <w:pStyle w:val="Normal"/>
        <w:jc w:val="both"/>
        <w:rPr>
          <w:rFonts w:ascii="Arial" w:hAnsi="Arial" w:cs="Arial"/>
          <w:sz w:val="24"/>
          <w:szCs w:val="24"/>
        </w:rPr>
      </w:pPr>
      <w:r>
        <w:rPr>
          <w:rFonts w:cs="Arial" w:ascii="Arial" w:hAnsi="Arial"/>
          <w:sz w:val="24"/>
          <w:szCs w:val="24"/>
        </w:rPr>
        <w:t xml:space="preserve">Atât la nivelul Uniunii Europene cât și la nivel național a fost identificat rolul important al municipalitățiilor și localitățiilor în realizarea obiectivelor politicii naționale de eficiență energetică. Este esenţială îmbunătăţirea modului de utilizare a energiei la nivelul comunităților locale, nu doar pentru atingerea obiectivelor naţionale referitoare la eficienţa energetică pe termen mediu, ci şi pentru a îndeplini obiectivele pe termen lung ale strategiei privind schimbările climatice şi trecerea la o economie competitivă cu emisii scăzute de dioxid de carbon. </w:t>
      </w:r>
    </w:p>
    <w:p>
      <w:pPr>
        <w:pStyle w:val="BodyText1"/>
        <w:spacing w:lineRule="auto" w:line="276" w:before="0" w:after="120"/>
        <w:ind w:hanging="0"/>
        <w:jc w:val="both"/>
        <w:rPr>
          <w:rFonts w:ascii="Arial" w:hAnsi="Arial" w:cs="Arial"/>
        </w:rPr>
      </w:pPr>
      <w:r>
        <w:rPr>
          <w:rStyle w:val="Bodytext"/>
          <w:rFonts w:eastAsia="Courier New" w:cs="Arial" w:ascii="Arial" w:hAnsi="Arial"/>
          <w:b/>
          <w:bCs/>
        </w:rPr>
        <w:t>Planul de Mobilitate Urbană Durabilă pentru Municipiul Tulcea</w:t>
      </w:r>
      <w:r>
        <w:rPr>
          <w:rStyle w:val="Bodytext"/>
          <w:rFonts w:eastAsia="Courier New" w:cs="Arial" w:ascii="Arial" w:hAnsi="Arial"/>
        </w:rPr>
        <w:t xml:space="preserve"> este un proiect strategic și unificator, un instrument de dialog între parteneri , un instrument de acțiune în ceea ce privește eficiența mobilității pe termen scurt și mediu și în ceea ce privește perspectiva pe termen mediu pentru următorii 10 ani și perspectiva de dezvoltare durabilă pentru următorii 25 ani, urmărind îndeplinirea următoarelor obiective fundamentale: Accesibilitate, Eficiență economică, Siguranță, Protejarea mediului, Calitatea vieții.</w:t>
      </w:r>
    </w:p>
    <w:p>
      <w:pPr>
        <w:pStyle w:val="BodyText1"/>
        <w:spacing w:lineRule="auto" w:line="276" w:before="0" w:after="120"/>
        <w:ind w:hanging="0"/>
        <w:jc w:val="both"/>
        <w:rPr>
          <w:rFonts w:ascii="Arial" w:hAnsi="Arial" w:cs="Arial"/>
        </w:rPr>
      </w:pPr>
      <w:r>
        <w:rPr>
          <w:rStyle w:val="Bodytext"/>
          <w:rFonts w:eastAsia="Courier New" w:cs="Arial" w:ascii="Arial" w:hAnsi="Arial"/>
        </w:rPr>
        <w:t>În cadrul Planului de Mobilitate Urbană Durabilă pentru Municipiul Tulcea se acordă prioritate ridicată măsurilor care facilitează orientarea către tipare de mobilitate durabilă. Atenție deosebită în acest sens revine transportului public.</w:t>
      </w:r>
    </w:p>
    <w:p>
      <w:pPr>
        <w:pStyle w:val="Normal"/>
        <w:jc w:val="both"/>
        <w:rPr>
          <w:rFonts w:ascii="Arial" w:hAnsi="Arial" w:cs="Arial"/>
          <w:sz w:val="24"/>
          <w:szCs w:val="24"/>
        </w:rPr>
      </w:pPr>
      <w:r>
        <w:rPr>
          <w:rFonts w:cs="Arial" w:ascii="Arial" w:hAnsi="Arial"/>
          <w:sz w:val="24"/>
          <w:szCs w:val="24"/>
        </w:rPr>
      </w:r>
      <w:r>
        <w:br w:type="page"/>
      </w:r>
    </w:p>
    <w:p>
      <w:pPr>
        <w:pStyle w:val="Heading1"/>
        <w:numPr>
          <w:ilvl w:val="0"/>
          <w:numId w:val="25"/>
        </w:numPr>
        <w:ind w:left="0" w:hanging="0"/>
        <w:jc w:val="both"/>
        <w:rPr>
          <w:rFonts w:ascii="Arial" w:hAnsi="Arial" w:cs="Arial"/>
          <w:b/>
          <w:b/>
          <w:bCs/>
          <w:color w:val="auto"/>
        </w:rPr>
      </w:pPr>
      <w:bookmarkStart w:id="13" w:name="_Toc193471053"/>
      <w:r>
        <w:rPr>
          <w:rFonts w:cs="Arial" w:ascii="Arial" w:hAnsi="Arial"/>
          <w:b/>
          <w:bCs/>
          <w:color w:val="auto"/>
        </w:rPr>
        <w:t>Cerințe contextuale</w:t>
      </w:r>
      <w:bookmarkEnd w:id="13"/>
    </w:p>
    <w:p>
      <w:pPr>
        <w:pStyle w:val="Normal"/>
        <w:rPr>
          <w:rFonts w:ascii="Arial" w:hAnsi="Arial" w:cs="Arial"/>
        </w:rPr>
      </w:pPr>
      <w:r>
        <w:rPr>
          <w:rFonts w:cs="Arial" w:ascii="Arial" w:hAnsi="Arial"/>
        </w:rPr>
      </w:r>
    </w:p>
    <w:p>
      <w:pPr>
        <w:pStyle w:val="Normal"/>
        <w:jc w:val="both"/>
        <w:rPr>
          <w:rFonts w:ascii="Arial" w:hAnsi="Arial" w:cs="Arial"/>
          <w:sz w:val="24"/>
          <w:szCs w:val="24"/>
        </w:rPr>
      </w:pPr>
      <w:r>
        <w:rPr>
          <w:rFonts w:cs="Arial" w:ascii="Arial" w:hAnsi="Arial"/>
          <w:sz w:val="24"/>
          <w:szCs w:val="24"/>
        </w:rPr>
        <w:t xml:space="preserve">Contextul actual al societății TRANSPORT PUBLIC S.A. este potențat de acei factori care-i determină performanța actuală și stadiul actual de dezvoltare, care este probabil să impacteze semnificativ operațiunile, dezvoltarea și performanța viitoare și pe care viitorii administratori și directori vor trebui să-i ia în vor trebui să-i ia în considerare în planificarea și abordarea viitorului mandat. </w:t>
      </w:r>
    </w:p>
    <w:p>
      <w:pPr>
        <w:pStyle w:val="Other1"/>
        <w:spacing w:lineRule="auto" w:line="276" w:before="0" w:after="120"/>
        <w:ind w:hanging="0"/>
        <w:jc w:val="both"/>
        <w:rPr>
          <w:rFonts w:ascii="Arial" w:hAnsi="Arial" w:cs="Arial"/>
          <w:color w:val="auto"/>
        </w:rPr>
      </w:pPr>
      <w:r>
        <w:rPr>
          <w:rFonts w:cs="Arial" w:ascii="Arial" w:hAnsi="Arial"/>
          <w:color w:val="auto"/>
        </w:rPr>
        <w:t>Serviciul de transport public local de călători din municipiul Tulcea este influențat, în mod negativ, în ultima perioadă de o serie de factori printre care:</w:t>
      </w:r>
    </w:p>
    <w:p>
      <w:pPr>
        <w:pStyle w:val="Other1"/>
        <w:spacing w:lineRule="auto" w:line="276" w:before="0" w:after="120"/>
        <w:ind w:firstLine="720"/>
        <w:jc w:val="both"/>
        <w:rPr>
          <w:rFonts w:ascii="Arial" w:hAnsi="Arial" w:cs="Arial"/>
          <w:color w:val="auto"/>
        </w:rPr>
      </w:pPr>
      <w:r>
        <w:rPr>
          <w:rFonts w:eastAsia="Symbol" w:cs="Symbol" w:ascii="Symbol" w:hAnsi="Symbol"/>
          <w:color w:val="auto"/>
        </w:rPr>
        <w:t></w:t>
      </w:r>
      <w:r>
        <w:rPr>
          <w:rFonts w:cs="Arial" w:ascii="Arial" w:hAnsi="Arial"/>
          <w:color w:val="auto"/>
        </w:rPr>
        <w:t xml:space="preserve"> </w:t>
      </w:r>
      <w:r>
        <w:rPr>
          <w:rFonts w:cs="Arial" w:ascii="Arial" w:hAnsi="Arial"/>
          <w:color w:val="auto"/>
        </w:rPr>
        <w:t xml:space="preserve">dezvoltarea accentuată a transportului cu autoturismele personale; </w:t>
      </w:r>
    </w:p>
    <w:p>
      <w:pPr>
        <w:pStyle w:val="Other1"/>
        <w:spacing w:lineRule="auto" w:line="276" w:before="0" w:after="120"/>
        <w:ind w:firstLine="720"/>
        <w:jc w:val="both"/>
        <w:rPr>
          <w:rFonts w:ascii="Arial" w:hAnsi="Arial" w:cs="Arial"/>
          <w:color w:val="auto"/>
        </w:rPr>
      </w:pPr>
      <w:r>
        <w:rPr>
          <w:rFonts w:eastAsia="Symbol" w:cs="Symbol" w:ascii="Symbol" w:hAnsi="Symbol"/>
          <w:color w:val="auto"/>
        </w:rPr>
        <w:t></w:t>
      </w:r>
      <w:r>
        <w:rPr>
          <w:rFonts w:cs="Arial" w:ascii="Arial" w:hAnsi="Arial"/>
          <w:color w:val="auto"/>
        </w:rPr>
        <w:t xml:space="preserve"> </w:t>
      </w:r>
      <w:r>
        <w:rPr>
          <w:rFonts w:cs="Arial" w:ascii="Arial" w:hAnsi="Arial"/>
          <w:color w:val="auto"/>
        </w:rPr>
        <w:t xml:space="preserve">stagnarea dezvoltării economice; </w:t>
      </w:r>
    </w:p>
    <w:p>
      <w:pPr>
        <w:pStyle w:val="Other1"/>
        <w:spacing w:lineRule="auto" w:line="276" w:before="0" w:after="120"/>
        <w:ind w:firstLine="720"/>
        <w:jc w:val="both"/>
        <w:rPr>
          <w:rFonts w:ascii="Arial" w:hAnsi="Arial" w:cs="Arial"/>
          <w:color w:val="auto"/>
        </w:rPr>
      </w:pPr>
      <w:r>
        <w:rPr>
          <w:rFonts w:eastAsia="Symbol" w:cs="Symbol" w:ascii="Symbol" w:hAnsi="Symbol"/>
          <w:color w:val="auto"/>
        </w:rPr>
        <w:t></w:t>
      </w:r>
      <w:r>
        <w:rPr>
          <w:rFonts w:cs="Arial" w:ascii="Arial" w:hAnsi="Arial"/>
          <w:color w:val="auto"/>
        </w:rPr>
        <w:t xml:space="preserve"> </w:t>
      </w:r>
      <w:r>
        <w:rPr>
          <w:rFonts w:cs="Arial" w:ascii="Arial" w:hAnsi="Arial"/>
          <w:color w:val="auto"/>
        </w:rPr>
        <w:t xml:space="preserve">creșterea ponderii populației sărace (șomeri, pensionari, etc.);  </w:t>
      </w:r>
    </w:p>
    <w:p>
      <w:pPr>
        <w:pStyle w:val="Other1"/>
        <w:spacing w:lineRule="auto" w:line="276" w:before="0" w:after="120"/>
        <w:ind w:firstLine="720"/>
        <w:jc w:val="both"/>
        <w:rPr>
          <w:rFonts w:ascii="Arial" w:hAnsi="Arial" w:cs="Arial"/>
          <w:color w:val="auto"/>
        </w:rPr>
      </w:pPr>
      <w:r>
        <w:rPr>
          <w:rFonts w:eastAsia="Symbol" w:cs="Symbol" w:ascii="Symbol" w:hAnsi="Symbol"/>
          <w:color w:val="auto"/>
        </w:rPr>
        <w:t></w:t>
      </w:r>
      <w:r>
        <w:rPr>
          <w:rFonts w:cs="Arial" w:ascii="Arial" w:hAnsi="Arial"/>
          <w:color w:val="auto"/>
        </w:rPr>
        <w:t xml:space="preserve"> </w:t>
      </w:r>
      <w:r>
        <w:rPr>
          <w:rFonts w:cs="Arial" w:ascii="Arial" w:hAnsi="Arial"/>
          <w:color w:val="auto"/>
        </w:rPr>
        <w:t xml:space="preserve">numărul mare de taxiuri care activează pe teritoriul municipiului; </w:t>
      </w:r>
    </w:p>
    <w:p>
      <w:pPr>
        <w:pStyle w:val="Other1"/>
        <w:spacing w:lineRule="auto" w:line="276" w:before="0" w:after="120"/>
        <w:ind w:firstLine="720"/>
        <w:jc w:val="both"/>
        <w:rPr>
          <w:rFonts w:ascii="Arial" w:hAnsi="Arial" w:cs="Arial"/>
          <w:color w:val="auto"/>
        </w:rPr>
      </w:pPr>
      <w:r>
        <w:rPr>
          <w:rFonts w:eastAsia="Symbol" w:cs="Symbol" w:ascii="Symbol" w:hAnsi="Symbol"/>
          <w:color w:val="auto"/>
        </w:rPr>
        <w:t></w:t>
      </w:r>
      <w:r>
        <w:rPr>
          <w:rFonts w:cs="Arial" w:ascii="Arial" w:hAnsi="Arial"/>
          <w:color w:val="auto"/>
        </w:rPr>
        <w:t xml:space="preserve"> </w:t>
      </w:r>
      <w:r>
        <w:rPr>
          <w:rFonts w:cs="Arial" w:ascii="Arial" w:hAnsi="Arial"/>
          <w:color w:val="auto"/>
        </w:rPr>
        <w:t>anumite societăți mari, care au mulți angajați au procurat autobuze sau au apelat la alte societăți cu care transportă angajații proprii ceea ce conduce la scăderea veniturilor societății ce asigură serviciul public de transport.</w:t>
      </w:r>
    </w:p>
    <w:p>
      <w:pPr>
        <w:pStyle w:val="Other1"/>
        <w:spacing w:lineRule="auto" w:line="276" w:before="0" w:after="120"/>
        <w:ind w:hanging="0"/>
        <w:jc w:val="both"/>
        <w:rPr>
          <w:rFonts w:ascii="Arial" w:hAnsi="Arial" w:cs="Arial"/>
          <w:color w:val="auto"/>
        </w:rPr>
      </w:pPr>
      <w:r>
        <w:rPr>
          <w:rFonts w:cs="Arial" w:ascii="Arial" w:hAnsi="Arial"/>
          <w:color w:val="auto"/>
        </w:rPr>
        <w:t xml:space="preserve">Prin aşezarea geografică, prin configuraţia stradală, prin aglomerarea zonei centrale mijloacele de transport urban cele mai adecvate în municipiul Tulcea sunt autobuzele de capacitate medie şi mică, preferabil electrice sau hibride. </w:t>
      </w:r>
    </w:p>
    <w:p>
      <w:pPr>
        <w:pStyle w:val="Other1"/>
        <w:spacing w:lineRule="auto" w:line="276" w:before="0" w:after="120"/>
        <w:ind w:hanging="0"/>
        <w:jc w:val="both"/>
        <w:rPr>
          <w:rFonts w:ascii="Arial" w:hAnsi="Arial" w:cs="Arial"/>
          <w:color w:val="auto"/>
        </w:rPr>
      </w:pPr>
      <w:r>
        <w:rPr>
          <w:rFonts w:cs="Arial" w:ascii="Arial" w:hAnsi="Arial"/>
          <w:color w:val="auto"/>
        </w:rPr>
        <w:t>Gradul de poluare al oraşului poate scădea prin diminuarea numărului de autoturisme care se deplasează în special la orele de vârf şi prin folosirea de mijloace de transport în comun care să funcționeze cu carburanți mai puțin poluanți sau mijloace de transport moderne cu o emisie de noxe redusă sau autobuze electrice/hibride.</w:t>
      </w:r>
    </w:p>
    <w:p>
      <w:pPr>
        <w:pStyle w:val="Other1"/>
        <w:spacing w:lineRule="auto" w:line="276" w:before="0" w:after="120"/>
        <w:ind w:hanging="0"/>
        <w:jc w:val="both"/>
        <w:rPr>
          <w:rFonts w:ascii="Arial" w:hAnsi="Arial" w:cs="Arial"/>
          <w:color w:val="auto"/>
        </w:rPr>
      </w:pPr>
      <w:r>
        <w:rPr>
          <w:rFonts w:cs="Arial" w:ascii="Arial" w:hAnsi="Arial"/>
          <w:color w:val="auto"/>
        </w:rPr>
        <w:t xml:space="preserve">Componenta socială ce caracterizează transportul urban de călători este și trebuie să fie o preocupare de bază a societății și a administraţiei locale. Această preocupare este determinată de faptul că serviciul de transport public este utilizat, în acest moment, în primul rînd de categoriile sociale cu venituri medii sau mici. Serviciul de transport public local de călători are o dimensiune economică și o dimensiune socială, indisolubil legate între ele. Strategia şi politicile din domeniul serviciului de transport local de călători, aşa cum prevede legislaţia în vigoare în România, trebuie elaborate şi conduse de guvern, iar răspunderea pentru administrarea, conducerea şi modernizarea serviciului revin autorităţilor publice locale împreună cu operatorul de transport public. </w:t>
      </w:r>
    </w:p>
    <w:p>
      <w:pPr>
        <w:pStyle w:val="Other1"/>
        <w:spacing w:lineRule="auto" w:line="276" w:before="0" w:after="120"/>
        <w:ind w:hanging="0"/>
        <w:jc w:val="both"/>
        <w:rPr>
          <w:rFonts w:ascii="Arial" w:hAnsi="Arial" w:cs="Arial"/>
          <w:color w:val="auto"/>
        </w:rPr>
      </w:pPr>
      <w:r>
        <w:rPr>
          <w:rFonts w:cs="Arial" w:ascii="Arial" w:hAnsi="Arial"/>
          <w:color w:val="auto"/>
        </w:rPr>
        <w:t>Efortul investiţional în achiziția de autobuze hibride și/sau electrice, nu trebuie considerat ca un simplu consum financiar, ci trebuie judecat ca un proces complex în cadrul căruia se achiziţionează bunuri cu durată mare de utilizare, care realizează condiţii de viaţă la standarde europene, pentru din populaţia municipiului şi contribuie la realizarea politicii de mediu şi de dezvoltare durabilă a municipiului Tulcea.</w:t>
      </w:r>
    </w:p>
    <w:p>
      <w:pPr>
        <w:pStyle w:val="Normal"/>
        <w:spacing w:lineRule="auto" w:line="240"/>
        <w:jc w:val="both"/>
        <w:rPr>
          <w:rFonts w:ascii="Arial" w:hAnsi="Arial" w:cs="Arial"/>
          <w:bCs/>
          <w:sz w:val="24"/>
          <w:szCs w:val="24"/>
        </w:rPr>
      </w:pPr>
      <w:r>
        <w:rPr>
          <w:rFonts w:cs="Arial" w:ascii="Arial" w:hAnsi="Arial"/>
          <w:bCs/>
          <w:sz w:val="24"/>
          <w:szCs w:val="24"/>
        </w:rPr>
      </w:r>
    </w:p>
    <w:p>
      <w:pPr>
        <w:pStyle w:val="Heading2"/>
        <w:tabs>
          <w:tab w:val="clear" w:pos="708"/>
          <w:tab w:val="left" w:pos="0" w:leader="none"/>
        </w:tabs>
        <w:jc w:val="both"/>
        <w:rPr>
          <w:rFonts w:ascii="Arial" w:hAnsi="Arial" w:cs="Arial"/>
          <w:b/>
          <w:b/>
          <w:bCs/>
        </w:rPr>
      </w:pPr>
      <w:bookmarkStart w:id="14" w:name="_Toc193471054"/>
      <w:r>
        <w:rPr>
          <w:rFonts w:cs="Arial" w:ascii="Arial" w:hAnsi="Arial"/>
          <w:b/>
          <w:bCs/>
        </w:rPr>
        <w:t>4.1 Starea economică/financiară a companiei</w:t>
      </w:r>
      <w:bookmarkEnd w:id="14"/>
    </w:p>
    <w:p>
      <w:pPr>
        <w:pStyle w:val="Normal"/>
        <w:ind w:left="450" w:hanging="0"/>
        <w:jc w:val="both"/>
        <w:rPr>
          <w:sz w:val="24"/>
          <w:szCs w:val="24"/>
        </w:rPr>
      </w:pPr>
      <w:r>
        <w:rPr>
          <w:sz w:val="24"/>
          <w:szCs w:val="24"/>
        </w:rPr>
      </w:r>
    </w:p>
    <w:p>
      <w:pPr>
        <w:pStyle w:val="Normal"/>
        <w:jc w:val="both"/>
        <w:rPr>
          <w:rFonts w:ascii="Arial" w:hAnsi="Arial" w:cs="Arial"/>
          <w:bCs/>
          <w:sz w:val="24"/>
          <w:szCs w:val="24"/>
        </w:rPr>
      </w:pPr>
      <w:r>
        <w:rPr>
          <w:rFonts w:cs="Arial" w:ascii="Arial" w:hAnsi="Arial"/>
          <w:bCs/>
          <w:sz w:val="24"/>
          <w:szCs w:val="24"/>
        </w:rPr>
        <w:t>Situațiile financiare se întocmesc de către societate în conformitate cu:</w:t>
      </w:r>
    </w:p>
    <w:p>
      <w:pPr>
        <w:pStyle w:val="ListParagraph"/>
        <w:numPr>
          <w:ilvl w:val="2"/>
          <w:numId w:val="4"/>
        </w:numPr>
        <w:suppressAutoHyphens w:val="true"/>
        <w:spacing w:before="0" w:after="120"/>
        <w:ind w:left="450" w:hanging="360"/>
        <w:contextualSpacing/>
        <w:jc w:val="both"/>
        <w:rPr>
          <w:rFonts w:ascii="Arial" w:hAnsi="Arial" w:cs="Arial"/>
          <w:bCs/>
          <w:sz w:val="24"/>
          <w:szCs w:val="24"/>
        </w:rPr>
      </w:pPr>
      <w:r>
        <w:rPr>
          <w:rFonts w:eastAsia="Calibri" w:cs="Arial" w:ascii="Arial" w:hAnsi="Arial"/>
          <w:sz w:val="24"/>
          <w:szCs w:val="24"/>
        </w:rPr>
        <w:t>Legea Contabilității 82/1991 republicată cu modificările și completările ulterioare;</w:t>
      </w:r>
    </w:p>
    <w:p>
      <w:pPr>
        <w:pStyle w:val="ListParagraph"/>
        <w:numPr>
          <w:ilvl w:val="2"/>
          <w:numId w:val="4"/>
        </w:numPr>
        <w:suppressAutoHyphens w:val="true"/>
        <w:spacing w:before="0" w:after="120"/>
        <w:ind w:left="450" w:hanging="360"/>
        <w:contextualSpacing/>
        <w:jc w:val="both"/>
        <w:rPr>
          <w:rFonts w:ascii="Arial" w:hAnsi="Arial" w:cs="Arial"/>
          <w:bCs/>
          <w:sz w:val="24"/>
          <w:szCs w:val="24"/>
        </w:rPr>
      </w:pPr>
      <w:r>
        <w:rPr>
          <w:rFonts w:cs="Arial" w:ascii="Arial" w:hAnsi="Arial"/>
          <w:bCs/>
          <w:sz w:val="24"/>
          <w:szCs w:val="24"/>
        </w:rPr>
        <w:t>Ordinul nr. 1802/2014 pentru aprobarea Reglementărilor contabile privind situațiile financiare anuale individuale și situațiile financiare anuale consolidate, cu modificările și completările ulterioare.</w:t>
      </w:r>
    </w:p>
    <w:p>
      <w:pPr>
        <w:pStyle w:val="Normal"/>
        <w:jc w:val="both"/>
        <w:rPr>
          <w:rFonts w:ascii="Arial" w:hAnsi="Arial" w:cs="Arial"/>
          <w:sz w:val="24"/>
          <w:szCs w:val="24"/>
        </w:rPr>
      </w:pPr>
      <w:r>
        <w:rPr>
          <w:rFonts w:cs="Arial" w:ascii="Arial" w:hAnsi="Arial"/>
          <w:sz w:val="24"/>
          <w:szCs w:val="24"/>
        </w:rPr>
        <w:t xml:space="preserve">La baza întocmirii bilanțului contabil au stat datele din balanța de verificare a conturilor sintetice încheiată la data de 31.12.2024, puse de acord cu soldurile din balanța conturilor analitice, încheiată după înregistrarea tuturor documentelor financiar-contabile aferente perioadei de raportare, din analiza înregistrărilor rezultând următoarea situație a evoluției patrimoniului:    </w:t>
      </w:r>
    </w:p>
    <w:p>
      <w:pPr>
        <w:pStyle w:val="Normal"/>
        <w:spacing w:lineRule="auto" w:line="360"/>
        <w:ind w:left="720" w:hanging="0"/>
        <w:jc w:val="right"/>
        <w:rPr>
          <w:rFonts w:ascii="Arial" w:hAnsi="Arial" w:cs="Arial"/>
          <w:color w:val="000000"/>
          <w:sz w:val="24"/>
          <w:szCs w:val="24"/>
        </w:rPr>
      </w:pPr>
      <w:r>
        <w:rPr>
          <w:rFonts w:cs="Arial" w:ascii="Arial" w:hAnsi="Arial"/>
          <w:sz w:val="20"/>
          <w:szCs w:val="20"/>
        </w:rPr>
        <w:t xml:space="preserve">                         </w:t>
      </w:r>
      <w:r>
        <w:rPr>
          <w:rFonts w:cs="Arial" w:ascii="Arial" w:hAnsi="Arial"/>
          <w:sz w:val="20"/>
          <w:szCs w:val="20"/>
        </w:rPr>
        <w:t>-lei-</w:t>
      </w:r>
    </w:p>
    <w:tbl>
      <w:tblPr>
        <w:tblW w:w="9479" w:type="dxa"/>
        <w:jc w:val="center"/>
        <w:tblInd w:w="0" w:type="dxa"/>
        <w:tblLayout w:type="fixed"/>
        <w:tblCellMar>
          <w:top w:w="0" w:type="dxa"/>
          <w:left w:w="108" w:type="dxa"/>
          <w:bottom w:w="0" w:type="dxa"/>
          <w:right w:w="108" w:type="dxa"/>
        </w:tblCellMar>
        <w:tblLook w:val="04a0"/>
      </w:tblPr>
      <w:tblGrid>
        <w:gridCol w:w="597"/>
        <w:gridCol w:w="5627"/>
        <w:gridCol w:w="1726"/>
        <w:gridCol w:w="1528"/>
      </w:tblGrid>
      <w:tr>
        <w:trPr>
          <w:trHeight w:val="300" w:hRule="atLeast"/>
        </w:trPr>
        <w:tc>
          <w:tcPr>
            <w:tcW w:w="597"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Nr. crt.</w:t>
            </w:r>
          </w:p>
        </w:tc>
        <w:tc>
          <w:tcPr>
            <w:tcW w:w="5627"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b/>
                <w:b/>
                <w:bCs/>
                <w:color w:val="000000"/>
                <w:sz w:val="24"/>
                <w:szCs w:val="24"/>
              </w:rPr>
            </w:pPr>
            <w:r>
              <w:rPr>
                <w:rFonts w:cs="Arial" w:ascii="Arial" w:hAnsi="Arial"/>
                <w:b/>
                <w:bCs/>
                <w:color w:val="000000"/>
                <w:sz w:val="24"/>
                <w:szCs w:val="24"/>
              </w:rPr>
              <w:t>Indicatori</w:t>
            </w:r>
          </w:p>
        </w:tc>
        <w:tc>
          <w:tcPr>
            <w:tcW w:w="172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b/>
                <w:b/>
                <w:bCs/>
                <w:color w:val="000000"/>
                <w:sz w:val="24"/>
                <w:szCs w:val="24"/>
              </w:rPr>
            </w:pPr>
            <w:r>
              <w:rPr>
                <w:rFonts w:cs="Arial" w:ascii="Arial" w:hAnsi="Arial"/>
                <w:b/>
                <w:bCs/>
                <w:color w:val="000000"/>
                <w:sz w:val="24"/>
                <w:szCs w:val="24"/>
              </w:rPr>
              <w:t>Sold</w:t>
            </w:r>
          </w:p>
        </w:tc>
        <w:tc>
          <w:tcPr>
            <w:tcW w:w="152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b/>
                <w:b/>
                <w:bCs/>
                <w:color w:val="000000"/>
                <w:sz w:val="24"/>
                <w:szCs w:val="24"/>
              </w:rPr>
            </w:pPr>
            <w:r>
              <w:rPr>
                <w:rFonts w:cs="Arial" w:ascii="Arial" w:hAnsi="Arial"/>
                <w:b/>
                <w:bCs/>
                <w:color w:val="000000"/>
                <w:sz w:val="24"/>
                <w:szCs w:val="24"/>
              </w:rPr>
              <w:t>Sold</w:t>
            </w:r>
          </w:p>
        </w:tc>
      </w:tr>
      <w:tr>
        <w:trPr>
          <w:trHeight w:val="278" w:hRule="atLeast"/>
        </w:trPr>
        <w:tc>
          <w:tcPr>
            <w:tcW w:w="5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r>
          </w:p>
        </w:tc>
        <w:tc>
          <w:tcPr>
            <w:tcW w:w="5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cs="Arial"/>
                <w:b/>
                <w:b/>
                <w:bCs/>
                <w:color w:val="000000"/>
                <w:sz w:val="24"/>
                <w:szCs w:val="24"/>
              </w:rPr>
            </w:pPr>
            <w:r>
              <w:rPr>
                <w:rFonts w:cs="Arial" w:ascii="Arial" w:hAnsi="Arial"/>
                <w:b/>
                <w:bCs/>
                <w:color w:val="000000"/>
                <w:sz w:val="24"/>
                <w:szCs w:val="24"/>
              </w:rPr>
            </w:r>
          </w:p>
        </w:tc>
        <w:tc>
          <w:tcPr>
            <w:tcW w:w="172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b/>
                <w:b/>
                <w:bCs/>
                <w:color w:val="000000"/>
                <w:sz w:val="24"/>
                <w:szCs w:val="24"/>
              </w:rPr>
            </w:pPr>
            <w:r>
              <w:rPr>
                <w:rFonts w:cs="Arial" w:ascii="Arial" w:hAnsi="Arial"/>
                <w:b/>
                <w:bCs/>
                <w:color w:val="000000"/>
                <w:sz w:val="24"/>
                <w:szCs w:val="24"/>
              </w:rPr>
              <w:t>01.01.2024</w:t>
            </w:r>
          </w:p>
        </w:tc>
        <w:tc>
          <w:tcPr>
            <w:tcW w:w="152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b/>
                <w:b/>
                <w:bCs/>
                <w:color w:val="000000"/>
                <w:sz w:val="24"/>
                <w:szCs w:val="24"/>
              </w:rPr>
            </w:pPr>
            <w:r>
              <w:rPr>
                <w:rFonts w:cs="Arial" w:ascii="Arial" w:hAnsi="Arial"/>
                <w:b/>
                <w:bCs/>
                <w:color w:val="000000"/>
                <w:sz w:val="24"/>
                <w:szCs w:val="24"/>
              </w:rPr>
              <w:t>31.12.2024</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I</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b/>
                <w:b/>
                <w:bCs/>
                <w:color w:val="000000"/>
                <w:sz w:val="24"/>
                <w:szCs w:val="24"/>
              </w:rPr>
            </w:pPr>
            <w:r>
              <w:rPr>
                <w:rFonts w:cs="Arial" w:ascii="Arial" w:hAnsi="Arial"/>
                <w:b/>
                <w:bCs/>
                <w:color w:val="000000"/>
                <w:sz w:val="24"/>
                <w:szCs w:val="24"/>
              </w:rPr>
              <w:t>Total activ net (rând 1 + 5), din care:</w:t>
            </w:r>
          </w:p>
        </w:tc>
        <w:tc>
          <w:tcPr>
            <w:tcW w:w="17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Arial" w:hAnsi="Arial" w:cs="Arial"/>
                <w:b/>
                <w:b/>
                <w:bCs/>
                <w:color w:val="000000"/>
                <w:sz w:val="24"/>
                <w:szCs w:val="24"/>
              </w:rPr>
            </w:pPr>
            <w:r>
              <w:rPr>
                <w:rFonts w:cs="Arial" w:ascii="Arial" w:hAnsi="Arial"/>
                <w:b/>
                <w:bCs/>
                <w:color w:val="000000"/>
                <w:sz w:val="24"/>
                <w:szCs w:val="24"/>
              </w:rPr>
              <w:t>5.316.370</w:t>
            </w:r>
          </w:p>
        </w:tc>
        <w:tc>
          <w:tcPr>
            <w:tcW w:w="152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Arial" w:hAnsi="Arial" w:cs="Arial"/>
                <w:b/>
                <w:b/>
                <w:bCs/>
                <w:color w:val="000000"/>
                <w:sz w:val="24"/>
                <w:szCs w:val="24"/>
              </w:rPr>
            </w:pPr>
            <w:r>
              <w:rPr>
                <w:rFonts w:cs="Arial" w:ascii="Arial" w:hAnsi="Arial"/>
                <w:b/>
                <w:bCs/>
                <w:color w:val="000000"/>
                <w:sz w:val="24"/>
                <w:szCs w:val="24"/>
              </w:rPr>
              <w:t>6.744.502</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1</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Active imobilizate - fără amortizare</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4.145.713</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5.790.405</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2</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Active circulante din care:</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3.817.883</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7.270.196</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stocuri</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692.518</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626.568</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creanțe</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3.022.424</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5.856.030</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disponibil în casă și conturi la bănci</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102.941</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787.598</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3</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Cheltuieli înregistrate în avans</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0</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0</w:t>
            </w:r>
          </w:p>
        </w:tc>
      </w:tr>
      <w:tr>
        <w:trPr>
          <w:trHeight w:val="450"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4</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Datorii ce trebuiesc plătite într-o perioadă de până la un an</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2.647.226</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6.316.099</w:t>
            </w:r>
          </w:p>
        </w:tc>
      </w:tr>
      <w:tr>
        <w:trPr>
          <w:trHeight w:val="450"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5</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Active circulante nete respectiv datorii curente nete (rând 2+3-4)</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1.170.657</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954.097</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II</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b/>
                <w:b/>
                <w:bCs/>
                <w:color w:val="000000"/>
                <w:sz w:val="24"/>
                <w:szCs w:val="24"/>
              </w:rPr>
            </w:pPr>
            <w:r>
              <w:rPr>
                <w:rFonts w:cs="Arial" w:ascii="Arial" w:hAnsi="Arial"/>
                <w:b/>
                <w:bCs/>
                <w:color w:val="000000"/>
                <w:sz w:val="24"/>
                <w:szCs w:val="24"/>
              </w:rPr>
              <w:t>Total pasiv (rând 1 + 3 + 7),  din care:</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b/>
                <w:b/>
                <w:bCs/>
                <w:color w:val="000000"/>
                <w:sz w:val="24"/>
                <w:szCs w:val="24"/>
              </w:rPr>
            </w:pPr>
            <w:r>
              <w:rPr>
                <w:rFonts w:cs="Arial" w:ascii="Arial" w:hAnsi="Arial"/>
                <w:b/>
                <w:bCs/>
                <w:color w:val="000000"/>
                <w:sz w:val="24"/>
                <w:szCs w:val="24"/>
              </w:rPr>
              <w:t>5.316.370</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b/>
                <w:b/>
                <w:bCs/>
                <w:color w:val="000000"/>
                <w:sz w:val="24"/>
                <w:szCs w:val="24"/>
              </w:rPr>
            </w:pPr>
            <w:r>
              <w:rPr>
                <w:rFonts w:cs="Arial" w:ascii="Arial" w:hAnsi="Arial"/>
                <w:b/>
                <w:bCs/>
                <w:color w:val="000000"/>
                <w:sz w:val="24"/>
                <w:szCs w:val="24"/>
              </w:rPr>
              <w:t>6.744.502</w:t>
            </w:r>
          </w:p>
        </w:tc>
      </w:tr>
      <w:tr>
        <w:trPr>
          <w:trHeight w:val="450"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1</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Datorii ce trebuiesc plătite într-o perioadă mai mare de un an</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742.957</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1.986.054</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2</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Capital și rezerve</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4.897.083</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4.585.179</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3</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Venituri în avans</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6.080</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6.080</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4</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Rezultatul reportat (sold debitor)</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438.338</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106.424</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5</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Rezultatul exercițiului</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sold debitor</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0</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0</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 sold creditor</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116.871</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291.460</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6</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Repartizarea profitului</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8.283</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17.847</w:t>
            </w:r>
          </w:p>
        </w:tc>
      </w:tr>
      <w:tr>
        <w:trPr>
          <w:trHeight w:val="225" w:hRule="atLeast"/>
        </w:trPr>
        <w:tc>
          <w:tcPr>
            <w:tcW w:w="59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w:hAnsi="Arial" w:cs="Arial"/>
                <w:color w:val="000000"/>
                <w:sz w:val="24"/>
                <w:szCs w:val="24"/>
              </w:rPr>
            </w:pPr>
            <w:r>
              <w:rPr>
                <w:rFonts w:cs="Arial" w:ascii="Arial" w:hAnsi="Arial"/>
                <w:color w:val="000000"/>
                <w:sz w:val="24"/>
                <w:szCs w:val="24"/>
              </w:rPr>
              <w:t>7</w:t>
            </w:r>
          </w:p>
        </w:tc>
        <w:tc>
          <w:tcPr>
            <w:tcW w:w="5627" w:type="dxa"/>
            <w:tcBorders>
              <w:bottom w:val="single" w:sz="4" w:space="0" w:color="000000"/>
            </w:tcBorders>
            <w:shd w:color="auto" w:fill="auto" w:val="clear"/>
          </w:tcPr>
          <w:p>
            <w:pPr>
              <w:pStyle w:val="Normal"/>
              <w:widowControl w:val="false"/>
              <w:spacing w:lineRule="auto" w:line="240" w:before="0" w:after="0"/>
              <w:rPr>
                <w:rFonts w:ascii="Arial" w:hAnsi="Arial" w:cs="Arial"/>
                <w:color w:val="000000"/>
                <w:sz w:val="24"/>
                <w:szCs w:val="24"/>
              </w:rPr>
            </w:pPr>
            <w:r>
              <w:rPr>
                <w:rFonts w:cs="Arial" w:ascii="Arial" w:hAnsi="Arial"/>
                <w:color w:val="000000"/>
                <w:sz w:val="24"/>
                <w:szCs w:val="24"/>
              </w:rPr>
              <w:t>Capitaluri proprii (rând 2 - 4 + 5 - 6)</w:t>
            </w:r>
          </w:p>
        </w:tc>
        <w:tc>
          <w:tcPr>
            <w:tcW w:w="172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4.567.333</w:t>
            </w:r>
          </w:p>
        </w:tc>
        <w:tc>
          <w:tcPr>
            <w:tcW w:w="152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Arial" w:hAnsi="Arial" w:cs="Arial"/>
                <w:color w:val="000000"/>
                <w:sz w:val="24"/>
                <w:szCs w:val="24"/>
              </w:rPr>
            </w:pPr>
            <w:r>
              <w:rPr>
                <w:rFonts w:cs="Arial" w:ascii="Arial" w:hAnsi="Arial"/>
                <w:color w:val="000000"/>
                <w:sz w:val="24"/>
                <w:szCs w:val="24"/>
              </w:rPr>
              <w:t>4.752.368</w:t>
            </w:r>
          </w:p>
        </w:tc>
      </w:tr>
    </w:tbl>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cs="Arial"/>
          <w:bCs/>
          <w:sz w:val="24"/>
          <w:szCs w:val="24"/>
        </w:rPr>
      </w:pPr>
      <w:r>
        <w:rPr>
          <w:rFonts w:cs="Arial" w:ascii="Arial" w:hAnsi="Arial"/>
          <w:bCs/>
          <w:sz w:val="24"/>
          <w:szCs w:val="24"/>
        </w:rPr>
      </w:r>
    </w:p>
    <w:p>
      <w:pPr>
        <w:pStyle w:val="Normal"/>
        <w:spacing w:lineRule="auto" w:line="240"/>
        <w:jc w:val="both"/>
        <w:rPr>
          <w:rFonts w:ascii="Arial" w:hAnsi="Arial" w:cs="Arial"/>
          <w:bCs/>
          <w:sz w:val="24"/>
          <w:szCs w:val="24"/>
        </w:rPr>
      </w:pPr>
      <w:r>
        <w:rPr>
          <w:rFonts w:cs="Arial" w:ascii="Arial" w:hAnsi="Arial"/>
          <w:bCs/>
          <w:sz w:val="24"/>
          <w:szCs w:val="24"/>
        </w:rPr>
      </w:r>
    </w:p>
    <w:p>
      <w:pPr>
        <w:pStyle w:val="Normal"/>
        <w:spacing w:lineRule="auto" w:line="240"/>
        <w:jc w:val="both"/>
        <w:rPr>
          <w:rFonts w:ascii="Arial" w:hAnsi="Arial" w:cs="Arial"/>
          <w:bCs/>
          <w:sz w:val="24"/>
          <w:szCs w:val="24"/>
        </w:rPr>
      </w:pPr>
      <w:r>
        <w:rPr>
          <w:rFonts w:cs="Arial" w:ascii="Arial" w:hAnsi="Arial"/>
          <w:bCs/>
          <w:sz w:val="24"/>
          <w:szCs w:val="24"/>
        </w:rPr>
      </w:r>
    </w:p>
    <w:p>
      <w:pPr>
        <w:pStyle w:val="Normal"/>
        <w:spacing w:lineRule="auto" w:line="240"/>
        <w:jc w:val="both"/>
        <w:rPr>
          <w:rFonts w:ascii="Arial" w:hAnsi="Arial" w:cs="Arial"/>
          <w:bCs/>
          <w:sz w:val="24"/>
          <w:szCs w:val="24"/>
        </w:rPr>
      </w:pPr>
      <w:r>
        <w:rPr>
          <w:rFonts w:cs="Arial" w:ascii="Arial" w:hAnsi="Arial"/>
          <w:bCs/>
          <w:sz w:val="24"/>
          <w:szCs w:val="24"/>
        </w:rPr>
      </w:r>
    </w:p>
    <w:p>
      <w:pPr>
        <w:pStyle w:val="Normal"/>
        <w:spacing w:lineRule="auto" w:line="240"/>
        <w:jc w:val="both"/>
        <w:rPr>
          <w:rFonts w:ascii="Arial" w:hAnsi="Arial" w:cs="Arial"/>
          <w:bCs/>
          <w:sz w:val="24"/>
          <w:szCs w:val="24"/>
        </w:rPr>
      </w:pPr>
      <w:r>
        <w:rPr>
          <w:rFonts w:cs="Arial" w:ascii="Arial" w:hAnsi="Arial"/>
          <w:bCs/>
          <w:sz w:val="24"/>
          <w:szCs w:val="24"/>
        </w:rPr>
      </w:r>
    </w:p>
    <w:p>
      <w:pPr>
        <w:pStyle w:val="Normal"/>
        <w:spacing w:lineRule="auto" w:line="360"/>
        <w:rPr>
          <w:rFonts w:ascii="Arial" w:hAnsi="Arial" w:cs="Arial"/>
          <w:sz w:val="24"/>
          <w:szCs w:val="24"/>
        </w:rPr>
      </w:pPr>
      <w:r>
        <w:rPr>
          <w:rFonts w:cs="Arial" w:ascii="Arial" w:hAnsi="Arial"/>
          <w:sz w:val="24"/>
          <w:szCs w:val="24"/>
        </w:rPr>
        <w:t>Din analiza contului de profit și pierdere rezultă următoarele:</w:t>
      </w:r>
    </w:p>
    <w:p>
      <w:pPr>
        <w:pStyle w:val="Normal"/>
        <w:spacing w:lineRule="auto" w:line="360"/>
        <w:ind w:left="720" w:hanging="0"/>
        <w:jc w:val="right"/>
        <w:rPr>
          <w:rFonts w:ascii="Arial" w:hAnsi="Arial" w:cs="Arial"/>
          <w:sz w:val="20"/>
          <w:szCs w:val="20"/>
        </w:rPr>
      </w:pPr>
      <w:r>
        <w:rPr>
          <w:rFonts w:cs="Arial" w:ascii="Arial" w:hAnsi="Arial"/>
          <w:sz w:val="20"/>
          <w:szCs w:val="20"/>
        </w:rPr>
        <w:t xml:space="preserve">-lei- </w:t>
      </w:r>
    </w:p>
    <w:tbl>
      <w:tblPr>
        <w:tblW w:w="9936" w:type="dxa"/>
        <w:jc w:val="center"/>
        <w:tblInd w:w="0" w:type="dxa"/>
        <w:tblLayout w:type="fixed"/>
        <w:tblCellMar>
          <w:top w:w="0" w:type="dxa"/>
          <w:left w:w="108" w:type="dxa"/>
          <w:bottom w:w="0" w:type="dxa"/>
          <w:right w:w="108" w:type="dxa"/>
        </w:tblCellMar>
        <w:tblLook w:val="0000"/>
      </w:tblPr>
      <w:tblGrid>
        <w:gridCol w:w="585"/>
        <w:gridCol w:w="4968"/>
        <w:gridCol w:w="1530"/>
        <w:gridCol w:w="1592"/>
        <w:gridCol w:w="1261"/>
      </w:tblGrid>
      <w:tr>
        <w:trPr>
          <w:trHeight w:val="602" w:hRule="atLeast"/>
        </w:trPr>
        <w:tc>
          <w:tcPr>
            <w:tcW w:w="58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rPr>
            </w:pPr>
            <w:r>
              <w:rPr>
                <w:rFonts w:cs="Arial" w:ascii="Arial" w:hAnsi="Arial"/>
              </w:rPr>
              <w:t>Nr. crt.</w:t>
            </w:r>
          </w:p>
        </w:tc>
        <w:tc>
          <w:tcPr>
            <w:tcW w:w="496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bCs/>
                <w:sz w:val="24"/>
                <w:szCs w:val="24"/>
              </w:rPr>
            </w:pPr>
            <w:r>
              <w:rPr>
                <w:rFonts w:cs="Arial" w:ascii="Arial" w:hAnsi="Arial"/>
                <w:bCs/>
                <w:sz w:val="24"/>
                <w:szCs w:val="24"/>
              </w:rPr>
              <w:t>Indicatori</w:t>
            </w:r>
          </w:p>
        </w:tc>
        <w:tc>
          <w:tcPr>
            <w:tcW w:w="1530" w:type="dxa"/>
            <w:tcBorders>
              <w:top w:val="single" w:sz="4" w:space="0" w:color="000000"/>
              <w:left w:val="single" w:sz="4" w:space="0" w:color="000000"/>
              <w:bottom w:val="single" w:sz="4" w:space="0" w:color="000000"/>
            </w:tcBorders>
            <w:vAlign w:val="center"/>
          </w:tcPr>
          <w:p>
            <w:pPr>
              <w:pStyle w:val="Normal"/>
              <w:widowControl w:val="false"/>
              <w:spacing w:before="0" w:after="120"/>
              <w:jc w:val="right"/>
              <w:rPr>
                <w:rFonts w:ascii="Arial" w:hAnsi="Arial" w:cs="Arial"/>
                <w:bCs/>
                <w:sz w:val="24"/>
                <w:szCs w:val="24"/>
              </w:rPr>
            </w:pPr>
            <w:r>
              <w:rPr>
                <w:rFonts w:cs="Arial" w:ascii="Arial" w:hAnsi="Arial"/>
                <w:bCs/>
                <w:sz w:val="24"/>
                <w:szCs w:val="24"/>
              </w:rPr>
              <w:t>31.12.2023</w:t>
            </w:r>
          </w:p>
        </w:tc>
        <w:tc>
          <w:tcPr>
            <w:tcW w:w="159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bCs/>
                <w:sz w:val="24"/>
                <w:szCs w:val="24"/>
              </w:rPr>
            </w:pPr>
            <w:r>
              <w:rPr>
                <w:rFonts w:cs="Arial" w:ascii="Arial" w:hAnsi="Arial"/>
                <w:bCs/>
                <w:sz w:val="24"/>
                <w:szCs w:val="24"/>
              </w:rPr>
              <w:t>31.12.2024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120"/>
              <w:jc w:val="center"/>
              <w:rPr>
                <w:rFonts w:ascii="Arial" w:hAnsi="Arial" w:cs="Arial"/>
                <w:bCs/>
                <w:sz w:val="24"/>
                <w:szCs w:val="24"/>
              </w:rPr>
            </w:pPr>
            <w:r>
              <w:rPr>
                <w:rFonts w:cs="Arial" w:ascii="Arial" w:hAnsi="Arial"/>
                <w:bCs/>
                <w:sz w:val="24"/>
                <w:szCs w:val="24"/>
              </w:rPr>
              <w:t>Diferenţe %</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Venituri din exploatare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15.597.551</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18.365.011</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117,74%</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2</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Cifra de afaceri</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14.697.870</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15.544.059</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105,76%</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3</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sz w:val="24"/>
                <w:szCs w:val="24"/>
              </w:rPr>
            </w:pPr>
            <w:r>
              <w:rPr>
                <w:rFonts w:cs="Arial" w:ascii="Arial" w:hAnsi="Arial"/>
                <w:sz w:val="24"/>
                <w:szCs w:val="24"/>
              </w:rPr>
              <w:t>Venituri din producția vândută</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4.709.112</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8.610.723</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182,85%</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4</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sz w:val="24"/>
                <w:szCs w:val="24"/>
              </w:rPr>
            </w:pPr>
            <w:r>
              <w:rPr>
                <w:rFonts w:cs="Arial" w:ascii="Arial" w:hAnsi="Arial"/>
                <w:sz w:val="24"/>
                <w:szCs w:val="24"/>
              </w:rPr>
              <w:t>Venituri din subvenții de exploatare aferente cifrei de afaceri nete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9.987.811</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6.895.479</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69,04%</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5</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sz w:val="24"/>
                <w:szCs w:val="24"/>
              </w:rPr>
            </w:pPr>
            <w:r>
              <w:rPr>
                <w:rFonts w:cs="Arial" w:ascii="Arial" w:hAnsi="Arial"/>
                <w:sz w:val="24"/>
                <w:szCs w:val="24"/>
              </w:rPr>
              <w:t>Venituri din subvenții de exploatare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881.939</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2.767.742</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313,82%</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6</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Cheltuieli de exploatare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15.320.378</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17.718.974</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115,66%</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7</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iCs/>
                <w:color w:val="000000"/>
                <w:sz w:val="24"/>
                <w:szCs w:val="24"/>
              </w:rPr>
            </w:pPr>
            <w:r>
              <w:rPr>
                <w:rFonts w:cs="Arial" w:ascii="Arial" w:hAnsi="Arial"/>
                <w:sz w:val="24"/>
                <w:szCs w:val="24"/>
              </w:rPr>
              <w:t>Rezultatul din exploatare(+/-)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iCs/>
                <w:color w:val="000000"/>
                <w:sz w:val="24"/>
                <w:szCs w:val="24"/>
              </w:rPr>
              <w:t>277.173</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iCs/>
                <w:color w:val="000000"/>
                <w:sz w:val="24"/>
                <w:szCs w:val="24"/>
              </w:rPr>
              <w:t>646.037</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233,08%</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8</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Venituri financiare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1.001</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1.265</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126,37%</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9</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Cheltuieli financiare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136.058</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302.673</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222,46%</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10</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iCs/>
                <w:color w:val="000000"/>
                <w:sz w:val="24"/>
                <w:szCs w:val="24"/>
              </w:rPr>
            </w:pPr>
            <w:r>
              <w:rPr>
                <w:rFonts w:cs="Arial" w:ascii="Arial" w:hAnsi="Arial"/>
                <w:sz w:val="24"/>
                <w:szCs w:val="24"/>
              </w:rPr>
              <w:t>Rezultatul financiar(+/-)</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iCs/>
                <w:color w:val="000000"/>
                <w:sz w:val="24"/>
                <w:szCs w:val="24"/>
              </w:rPr>
              <w:t>-135.122</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iCs/>
                <w:color w:val="000000"/>
                <w:sz w:val="24"/>
                <w:szCs w:val="24"/>
              </w:rPr>
              <w:t>-301.408</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223,06%</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11</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Venituri totale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15.598.552</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18.366.276</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118,26%</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12</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Cheltuieli totale</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15.456.501</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18.021.647</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116,60%</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13</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bCs/>
                <w:iCs/>
                <w:color w:val="000000"/>
                <w:sz w:val="24"/>
                <w:szCs w:val="24"/>
              </w:rPr>
            </w:pPr>
            <w:r>
              <w:rPr>
                <w:rFonts w:cs="Arial" w:ascii="Arial" w:hAnsi="Arial"/>
                <w:sz w:val="24"/>
                <w:szCs w:val="24"/>
              </w:rPr>
              <w:t>Rezultatul brut al exercițiului financiar</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bCs/>
                <w:color w:val="000000"/>
                <w:sz w:val="24"/>
                <w:szCs w:val="24"/>
              </w:rPr>
            </w:pPr>
            <w:r>
              <w:rPr>
                <w:rFonts w:cs="Arial" w:ascii="Arial" w:hAnsi="Arial"/>
                <w:bCs/>
                <w:iCs/>
                <w:color w:val="000000"/>
                <w:sz w:val="24"/>
                <w:szCs w:val="24"/>
              </w:rPr>
              <w:t>142.051</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bCs/>
                <w:color w:val="000000"/>
                <w:sz w:val="24"/>
                <w:szCs w:val="24"/>
              </w:rPr>
            </w:pPr>
            <w:r>
              <w:rPr>
                <w:rFonts w:cs="Arial" w:ascii="Arial" w:hAnsi="Arial"/>
                <w:bCs/>
                <w:iCs/>
                <w:color w:val="000000"/>
                <w:sz w:val="24"/>
                <w:szCs w:val="24"/>
              </w:rPr>
              <w:t>344.629</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242,61%</w:t>
            </w:r>
          </w:p>
        </w:tc>
      </w:tr>
      <w:tr>
        <w:trPr>
          <w:trHeight w:val="576"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14</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rPr>
                <w:rFonts w:ascii="Arial" w:hAnsi="Arial" w:cs="Arial"/>
                <w:color w:val="000000"/>
                <w:sz w:val="24"/>
                <w:szCs w:val="24"/>
              </w:rPr>
            </w:pPr>
            <w:r>
              <w:rPr>
                <w:rFonts w:cs="Arial" w:ascii="Arial" w:hAnsi="Arial"/>
                <w:sz w:val="24"/>
                <w:szCs w:val="24"/>
              </w:rPr>
              <w:t>Impozit pe profit</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bCs/>
                <w:color w:val="000000"/>
                <w:sz w:val="24"/>
                <w:szCs w:val="24"/>
              </w:rPr>
            </w:pPr>
            <w:r>
              <w:rPr>
                <w:rFonts w:cs="Arial" w:ascii="Arial" w:hAnsi="Arial"/>
                <w:color w:val="000000"/>
                <w:sz w:val="24"/>
                <w:szCs w:val="24"/>
              </w:rPr>
              <w:t>25.180</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bCs/>
                <w:color w:val="000000"/>
                <w:sz w:val="24"/>
                <w:szCs w:val="24"/>
              </w:rPr>
            </w:pPr>
            <w:r>
              <w:rPr>
                <w:rFonts w:cs="Arial" w:ascii="Arial" w:hAnsi="Arial"/>
                <w:color w:val="000000"/>
                <w:sz w:val="24"/>
                <w:szCs w:val="24"/>
              </w:rPr>
              <w:t>53.169</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rPr>
            </w:pPr>
            <w:r>
              <w:rPr>
                <w:rFonts w:cs="Arial" w:ascii="Arial" w:hAnsi="Arial"/>
                <w:color w:val="000000"/>
                <w:sz w:val="24"/>
                <w:szCs w:val="24"/>
              </w:rPr>
              <w:t>211,16%</w:t>
            </w:r>
          </w:p>
        </w:tc>
      </w:tr>
      <w:tr>
        <w:trPr>
          <w:trHeight w:val="701" w:hRule="atLeast"/>
        </w:trPr>
        <w:tc>
          <w:tcPr>
            <w:tcW w:w="585" w:type="dxa"/>
            <w:tcBorders>
              <w:left w:val="single" w:sz="4" w:space="0" w:color="000000"/>
              <w:bottom w:val="single" w:sz="4" w:space="0" w:color="000000"/>
            </w:tcBorders>
            <w:shd w:color="auto" w:fill="auto" w:val="clear"/>
            <w:vAlign w:val="center"/>
          </w:tcPr>
          <w:p>
            <w:pPr>
              <w:pStyle w:val="Normal"/>
              <w:widowControl w:val="false"/>
              <w:snapToGrid w:val="false"/>
              <w:spacing w:before="0" w:after="120"/>
              <w:jc w:val="center"/>
              <w:rPr>
                <w:rFonts w:ascii="Arial" w:hAnsi="Arial" w:cs="Arial"/>
                <w:sz w:val="24"/>
                <w:szCs w:val="24"/>
              </w:rPr>
            </w:pPr>
            <w:r>
              <w:rPr>
                <w:rFonts w:cs="Arial" w:ascii="Arial" w:hAnsi="Arial"/>
                <w:sz w:val="24"/>
                <w:szCs w:val="24"/>
              </w:rPr>
              <w:t>15</w:t>
            </w:r>
          </w:p>
        </w:tc>
        <w:tc>
          <w:tcPr>
            <w:tcW w:w="4968" w:type="dxa"/>
            <w:tcBorders>
              <w:left w:val="single" w:sz="4" w:space="0" w:color="000000"/>
              <w:bottom w:val="single" w:sz="4" w:space="0" w:color="000000"/>
            </w:tcBorders>
            <w:shd w:color="auto" w:fill="auto" w:val="clear"/>
            <w:vAlign w:val="center"/>
          </w:tcPr>
          <w:p>
            <w:pPr>
              <w:pStyle w:val="Normal"/>
              <w:widowControl w:val="false"/>
              <w:snapToGrid w:val="false"/>
              <w:rPr>
                <w:rFonts w:ascii="Arial" w:hAnsi="Arial" w:cs="Arial"/>
                <w:sz w:val="24"/>
                <w:szCs w:val="24"/>
              </w:rPr>
            </w:pPr>
            <w:r>
              <w:rPr>
                <w:rFonts w:cs="Arial" w:ascii="Arial" w:hAnsi="Arial"/>
                <w:sz w:val="24"/>
                <w:szCs w:val="24"/>
              </w:rPr>
              <w:t>Rezultatul net al exercițiului financiar</w:t>
            </w:r>
          </w:p>
          <w:p>
            <w:pPr>
              <w:pStyle w:val="Normal"/>
              <w:widowControl w:val="false"/>
              <w:snapToGrid w:val="false"/>
              <w:spacing w:before="0" w:after="120"/>
              <w:rPr>
                <w:rFonts w:ascii="Arial" w:hAnsi="Arial" w:cs="Arial"/>
                <w:bCs/>
                <w:color w:val="000000"/>
                <w:sz w:val="24"/>
                <w:szCs w:val="24"/>
              </w:rPr>
            </w:pPr>
            <w:r>
              <w:rPr>
                <w:rFonts w:cs="Arial" w:ascii="Arial" w:hAnsi="Arial"/>
                <w:sz w:val="24"/>
                <w:szCs w:val="24"/>
              </w:rPr>
              <w:t>-   profit</w:t>
            </w:r>
          </w:p>
        </w:tc>
        <w:tc>
          <w:tcPr>
            <w:tcW w:w="1530" w:type="dxa"/>
            <w:tcBorders>
              <w:left w:val="single" w:sz="4" w:space="0" w:color="000000"/>
              <w:bottom w:val="single" w:sz="4" w:space="0" w:color="000000"/>
            </w:tcBorders>
            <w:vAlign w:val="center"/>
          </w:tcPr>
          <w:p>
            <w:pPr>
              <w:pStyle w:val="Normal"/>
              <w:widowControl w:val="false"/>
              <w:spacing w:before="0" w:after="120"/>
              <w:jc w:val="right"/>
              <w:rPr>
                <w:rFonts w:ascii="Arial" w:hAnsi="Arial" w:cs="Arial"/>
                <w:bCs/>
                <w:color w:val="000000"/>
                <w:sz w:val="24"/>
                <w:szCs w:val="24"/>
              </w:rPr>
            </w:pPr>
            <w:r>
              <w:rPr>
                <w:rFonts w:cs="Arial" w:ascii="Arial" w:hAnsi="Arial"/>
                <w:bCs/>
                <w:color w:val="000000"/>
                <w:sz w:val="24"/>
                <w:szCs w:val="24"/>
              </w:rPr>
              <w:t>116.871</w:t>
            </w:r>
          </w:p>
        </w:tc>
        <w:tc>
          <w:tcPr>
            <w:tcW w:w="1592" w:type="dxa"/>
            <w:tcBorders>
              <w:left w:val="single" w:sz="4" w:space="0" w:color="000000"/>
              <w:bottom w:val="single" w:sz="4" w:space="0" w:color="000000"/>
            </w:tcBorders>
            <w:shd w:color="auto" w:fill="auto" w:val="clear"/>
            <w:vAlign w:val="center"/>
          </w:tcPr>
          <w:p>
            <w:pPr>
              <w:pStyle w:val="Normal"/>
              <w:widowControl w:val="false"/>
              <w:spacing w:before="0" w:after="120"/>
              <w:jc w:val="right"/>
              <w:rPr>
                <w:rFonts w:ascii="Arial" w:hAnsi="Arial" w:cs="Arial"/>
                <w:bCs/>
                <w:color w:val="000000"/>
                <w:sz w:val="24"/>
                <w:szCs w:val="24"/>
              </w:rPr>
            </w:pPr>
            <w:r>
              <w:rPr>
                <w:rFonts w:cs="Arial" w:ascii="Arial" w:hAnsi="Arial"/>
                <w:bCs/>
                <w:color w:val="000000"/>
                <w:sz w:val="24"/>
                <w:szCs w:val="24"/>
              </w:rPr>
              <w:t>291.460</w:t>
            </w:r>
          </w:p>
        </w:tc>
        <w:tc>
          <w:tcPr>
            <w:tcW w:w="126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sz w:val="24"/>
                <w:szCs w:val="24"/>
              </w:rPr>
            </w:pPr>
            <w:r>
              <w:rPr>
                <w:rFonts w:cs="Arial" w:ascii="Arial" w:hAnsi="Arial"/>
                <w:sz w:val="24"/>
                <w:szCs w:val="24"/>
              </w:rPr>
              <w:t>249,39%</w:t>
            </w:r>
          </w:p>
        </w:tc>
      </w:tr>
    </w:tbl>
    <w:p>
      <w:pPr>
        <w:pStyle w:val="Normal"/>
        <w:spacing w:lineRule="auto" w:line="360"/>
        <w:ind w:left="-14" w:hanging="0"/>
        <w:jc w:val="both"/>
        <w:rPr>
          <w:rFonts w:ascii="Arial" w:hAnsi="Arial" w:cs="Arial"/>
          <w:sz w:val="24"/>
          <w:szCs w:val="24"/>
        </w:rPr>
      </w:pPr>
      <w:r>
        <w:rPr>
          <w:rFonts w:cs="Arial" w:ascii="Arial" w:hAnsi="Arial"/>
          <w:sz w:val="24"/>
          <w:szCs w:val="24"/>
        </w:rPr>
        <w:tab/>
        <w:tab/>
      </w:r>
    </w:p>
    <w:p>
      <w:pPr>
        <w:pStyle w:val="Normal"/>
        <w:spacing w:lineRule="auto" w:line="360"/>
        <w:ind w:left="-14" w:hanging="0"/>
        <w:jc w:val="both"/>
        <w:rPr>
          <w:rFonts w:ascii="Arial" w:hAnsi="Arial" w:cs="Arial"/>
          <w:sz w:val="24"/>
          <w:szCs w:val="24"/>
        </w:rPr>
      </w:pPr>
      <w:r>
        <w:rPr>
          <w:rFonts w:cs="Arial" w:ascii="Arial" w:hAnsi="Arial"/>
          <w:sz w:val="24"/>
          <w:szCs w:val="24"/>
        </w:rPr>
      </w:r>
    </w:p>
    <w:p>
      <w:pPr>
        <w:pStyle w:val="Normal"/>
        <w:spacing w:lineRule="auto" w:line="360"/>
        <w:ind w:left="-14" w:hanging="0"/>
        <w:jc w:val="both"/>
        <w:rPr>
          <w:rFonts w:ascii="Arial" w:hAnsi="Arial" w:cs="Arial"/>
          <w:sz w:val="24"/>
          <w:szCs w:val="24"/>
        </w:rPr>
      </w:pPr>
      <w:r>
        <w:rPr>
          <w:rFonts w:cs="Arial" w:ascii="Arial" w:hAnsi="Arial"/>
          <w:sz w:val="24"/>
          <w:szCs w:val="24"/>
        </w:rPr>
      </w:r>
    </w:p>
    <w:p>
      <w:pPr>
        <w:pStyle w:val="Normal"/>
        <w:spacing w:lineRule="auto" w:line="360"/>
        <w:ind w:left="-14" w:hanging="0"/>
        <w:jc w:val="both"/>
        <w:rPr>
          <w:rFonts w:ascii="Arial" w:hAnsi="Arial" w:cs="Arial"/>
          <w:sz w:val="24"/>
          <w:szCs w:val="24"/>
        </w:rPr>
      </w:pPr>
      <w:r>
        <w:rPr>
          <w:rFonts w:cs="Arial" w:ascii="Arial" w:hAnsi="Arial"/>
          <w:sz w:val="24"/>
          <w:szCs w:val="24"/>
        </w:rPr>
      </w:r>
    </w:p>
    <w:p>
      <w:pPr>
        <w:pStyle w:val="Normal"/>
        <w:spacing w:lineRule="auto" w:line="360"/>
        <w:ind w:left="-14" w:hanging="0"/>
        <w:jc w:val="both"/>
        <w:rPr>
          <w:rFonts w:ascii="Arial" w:hAnsi="Arial" w:cs="Arial"/>
          <w:sz w:val="24"/>
          <w:szCs w:val="24"/>
        </w:rPr>
      </w:pPr>
      <w:r>
        <w:rPr>
          <w:rFonts w:cs="Arial" w:ascii="Arial" w:hAnsi="Arial"/>
          <w:sz w:val="24"/>
          <w:szCs w:val="24"/>
        </w:rPr>
      </w:r>
    </w:p>
    <w:p>
      <w:pPr>
        <w:pStyle w:val="Normal"/>
        <w:spacing w:lineRule="auto" w:line="360"/>
        <w:ind w:left="-14" w:hanging="0"/>
        <w:jc w:val="both"/>
        <w:rPr>
          <w:rFonts w:ascii="Arial" w:hAnsi="Arial" w:cs="Arial"/>
          <w:sz w:val="24"/>
          <w:szCs w:val="24"/>
        </w:rPr>
      </w:pPr>
      <w:r>
        <w:rPr>
          <w:rFonts w:cs="Arial" w:ascii="Arial" w:hAnsi="Arial"/>
          <w:sz w:val="24"/>
          <w:szCs w:val="24"/>
        </w:rPr>
      </w:r>
    </w:p>
    <w:p>
      <w:pPr>
        <w:pStyle w:val="Normal"/>
        <w:spacing w:lineRule="auto" w:line="240" w:before="120" w:after="120"/>
        <w:jc w:val="both"/>
        <w:rPr>
          <w:rFonts w:ascii="Arial" w:hAnsi="Arial" w:cs="Arial"/>
          <w:b/>
          <w:b/>
          <w:bCs/>
          <w:sz w:val="24"/>
          <w:szCs w:val="24"/>
        </w:rPr>
      </w:pPr>
      <w:r>
        <w:rPr>
          <w:rFonts w:cs="Arial" w:ascii="Arial" w:hAnsi="Arial"/>
          <w:b/>
          <w:bCs/>
          <w:sz w:val="24"/>
          <w:szCs w:val="24"/>
        </w:rPr>
        <w:t>Situația fluxurilor de trezorerie la 31.12.2024</w:t>
      </w:r>
    </w:p>
    <w:tbl>
      <w:tblPr>
        <w:tblW w:w="9558" w:type="dxa"/>
        <w:jc w:val="left"/>
        <w:tblInd w:w="109" w:type="dxa"/>
        <w:tblLayout w:type="fixed"/>
        <w:tblCellMar>
          <w:top w:w="0" w:type="dxa"/>
          <w:left w:w="108" w:type="dxa"/>
          <w:bottom w:w="0" w:type="dxa"/>
          <w:right w:w="108" w:type="dxa"/>
        </w:tblCellMar>
        <w:tblLook w:val="04a0"/>
      </w:tblPr>
      <w:tblGrid>
        <w:gridCol w:w="540"/>
        <w:gridCol w:w="7650"/>
        <w:gridCol w:w="1368"/>
      </w:tblGrid>
      <w:tr>
        <w:trPr>
          <w:trHeight w:val="255" w:hRule="atLeast"/>
        </w:trPr>
        <w:tc>
          <w:tcPr>
            <w:tcW w:w="8190" w:type="dxa"/>
            <w:gridSpan w:val="2"/>
            <w:tcBorders/>
            <w:shd w:color="auto" w:fill="auto" w:val="clear"/>
            <w:vAlign w:val="bottom"/>
          </w:tcPr>
          <w:p>
            <w:pPr>
              <w:pStyle w:val="Normal"/>
              <w:widowControl w:val="false"/>
              <w:spacing w:lineRule="auto" w:line="240" w:before="0" w:after="0"/>
              <w:rPr>
                <w:rFonts w:ascii="Arial" w:hAnsi="Arial" w:eastAsia="Times New Roman" w:cs="Arial"/>
                <w:color w:val="000000"/>
                <w:sz w:val="16"/>
                <w:szCs w:val="16"/>
                <w:lang w:val="en-US"/>
              </w:rPr>
            </w:pPr>
            <w:r>
              <w:rPr>
                <w:rFonts w:eastAsia="Times New Roman" w:cs="Arial" w:ascii="Arial" w:hAnsi="Arial"/>
                <w:color w:val="000000"/>
                <w:sz w:val="16"/>
                <w:szCs w:val="16"/>
                <w:lang w:val="en-US"/>
              </w:rPr>
              <w:t>Metoda indirectă</w:t>
            </w:r>
          </w:p>
        </w:tc>
        <w:tc>
          <w:tcPr>
            <w:tcW w:w="1368" w:type="dxa"/>
            <w:tcBorders/>
            <w:shd w:color="auto" w:fill="auto" w:val="clear"/>
            <w:vAlign w:val="bottom"/>
          </w:tcPr>
          <w:p>
            <w:pPr>
              <w:pStyle w:val="Normal"/>
              <w:widowControl w:val="false"/>
              <w:spacing w:lineRule="auto" w:line="360"/>
              <w:ind w:left="720" w:hanging="0"/>
              <w:jc w:val="right"/>
              <w:rPr>
                <w:rFonts w:ascii="Arial" w:hAnsi="Arial" w:cs="Arial"/>
                <w:sz w:val="20"/>
                <w:szCs w:val="20"/>
              </w:rPr>
            </w:pPr>
            <w:r>
              <w:rPr>
                <w:rFonts w:cs="Arial" w:ascii="Arial" w:hAnsi="Arial"/>
                <w:sz w:val="20"/>
                <w:szCs w:val="20"/>
              </w:rPr>
              <w:t>-lei-</w:t>
            </w:r>
          </w:p>
          <w:p>
            <w:pPr>
              <w:pStyle w:val="Normal"/>
              <w:widowControl w:val="false"/>
              <w:spacing w:lineRule="auto" w:line="240" w:before="0" w:after="0"/>
              <w:jc w:val="center"/>
              <w:rPr>
                <w:rFonts w:ascii="Arial" w:hAnsi="Arial" w:eastAsia="Times New Roman" w:cs="Arial"/>
                <w:color w:val="000000"/>
                <w:sz w:val="16"/>
                <w:szCs w:val="16"/>
                <w:lang w:val="en-US"/>
              </w:rPr>
            </w:pPr>
            <w:r>
              <w:rPr>
                <w:rFonts w:eastAsia="Times New Roman" w:cs="Arial" w:ascii="Arial" w:hAnsi="Arial"/>
                <w:color w:val="000000"/>
                <w:sz w:val="16"/>
                <w:szCs w:val="16"/>
                <w:lang w:val="en-US"/>
              </w:rPr>
            </w:r>
          </w:p>
        </w:tc>
      </w:tr>
      <w:tr>
        <w:trPr>
          <w:trHeight w:val="402" w:hRule="atLeast"/>
        </w:trPr>
        <w:tc>
          <w:tcPr>
            <w:tcW w:w="81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FLUXURI DE NUMERAR DIN ACTIVITATEA DE EXPLOATARE (A)</w:t>
            </w:r>
          </w:p>
        </w:tc>
        <w:tc>
          <w:tcPr>
            <w:tcW w:w="136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-414.263</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Profit sau pierdere înainte de plata dobânzilor şi a impozitului pe profit curent (+/-)</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645.570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Cheltuieli privind dobânzile</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300.941</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Cheltuieli cu impozitul pe profit curent</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53.169</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Amortizarea inclusă în conturi</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397.677</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24"/>
                <w:szCs w:val="24"/>
                <w:lang w:val="en-US"/>
              </w:rPr>
            </w:pPr>
            <w:r>
              <w:rPr>
                <w:rFonts w:eastAsia="Times New Roman" w:cs="Arial" w:ascii="Arial" w:hAnsi="Arial"/>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t>Provizioane pentru depreciere constituite</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sz w:val="24"/>
                <w:szCs w:val="24"/>
                <w:lang w:val="en-US"/>
              </w:rPr>
            </w:pPr>
            <w:r>
              <w:rPr>
                <w:rFonts w:eastAsia="Times New Roman" w:cs="Arial" w:ascii="Arial" w:hAnsi="Arial"/>
                <w:sz w:val="24"/>
                <w:szCs w:val="24"/>
                <w:lang w:val="en-US"/>
              </w:rPr>
              <w:t>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24"/>
                <w:szCs w:val="24"/>
                <w:lang w:val="en-US"/>
              </w:rPr>
            </w:pPr>
            <w:r>
              <w:rPr>
                <w:rFonts w:eastAsia="Times New Roman" w:cs="Arial" w:ascii="Arial" w:hAnsi="Arial"/>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t>Variaţia stocurilor (+/-)</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sz w:val="24"/>
                <w:szCs w:val="24"/>
                <w:lang w:val="en-US"/>
              </w:rPr>
            </w:pPr>
            <w:r>
              <w:rPr>
                <w:rFonts w:eastAsia="Times New Roman" w:cs="Arial" w:ascii="Arial" w:hAnsi="Arial"/>
                <w:sz w:val="24"/>
                <w:szCs w:val="24"/>
                <w:lang w:val="en-US"/>
              </w:rPr>
              <w:t>-65.950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Variaţia creanţelor (+/-)</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2.833.606</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Recunoaşterea cheltuielilor în avans</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Variatia furnizorilor şi clientilor creditori</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-22.773</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Provizioane pentru risc</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Recunoasterea veniturilor în avans</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Variaţia elementelor de capitaluri proprii</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-106.425</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Variaţia altor elemente de pasiv</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1.764.743</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Variaţia altor elemente de activ</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-28.711</w:t>
            </w:r>
          </w:p>
        </w:tc>
      </w:tr>
      <w:tr>
        <w:trPr>
          <w:trHeight w:val="402" w:hRule="atLeast"/>
        </w:trPr>
        <w:tc>
          <w:tcPr>
            <w:tcW w:w="8190"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FLUXURI DE NUMERAR DIN ACTIVITATEA DE INVESTIŢII (B)</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-2.042.369</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Creşterea imobilizărilor corporale şi necorporale</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2.071.080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Ieşiri de imobilizări corporale şi necorporale</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28.711</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Amortizarea aferentă mijloacelor fixe ieşite</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Provizioane pentru depreciere reluate</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0</w:t>
            </w:r>
          </w:p>
        </w:tc>
      </w:tr>
      <w:tr>
        <w:trPr>
          <w:trHeight w:val="402" w:hRule="atLeast"/>
        </w:trPr>
        <w:tc>
          <w:tcPr>
            <w:tcW w:w="8190"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FLUXURI DE NUMERAR DIN ACTIVITATEA FINANCIARĂ (C)</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3.170.000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Variaţia împrumuturilor financiare (+/-)</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3.170.000</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I</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Numerar şi echivalente de numerar la începutul perioadei</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102.941</w:t>
            </w:r>
          </w:p>
        </w:tc>
      </w:tr>
      <w:tr>
        <w:trPr>
          <w:trHeight w:val="402" w:hRule="atLeast"/>
        </w:trPr>
        <w:tc>
          <w:tcPr>
            <w:tcW w:w="5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color w:val="000000"/>
                <w:sz w:val="24"/>
                <w:szCs w:val="24"/>
                <w:lang w:val="en-US"/>
              </w:rPr>
            </w:pPr>
            <w:r>
              <w:rPr>
                <w:rFonts w:eastAsia="Times New Roman" w:cs="Arial" w:ascii="Arial" w:hAnsi="Arial"/>
                <w:color w:val="000000"/>
                <w:sz w:val="24"/>
                <w:szCs w:val="24"/>
                <w:lang w:val="en-US"/>
              </w:rPr>
              <w:t>II</w:t>
            </w:r>
          </w:p>
        </w:tc>
        <w:tc>
          <w:tcPr>
            <w:tcW w:w="765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color w:val="000000"/>
                <w:sz w:val="24"/>
                <w:szCs w:val="24"/>
                <w:lang w:val="en-US"/>
              </w:rPr>
            </w:pPr>
            <w:r>
              <w:rPr>
                <w:rFonts w:eastAsia="Times New Roman" w:cs="Arial" w:ascii="Arial" w:hAnsi="Arial"/>
                <w:color w:val="000000"/>
                <w:sz w:val="24"/>
                <w:szCs w:val="24"/>
                <w:lang w:val="en-US"/>
              </w:rPr>
              <w:t>Numerar şi echivalente de numerar la sfârşitul perioadei</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color w:val="000000"/>
                <w:sz w:val="24"/>
                <w:szCs w:val="24"/>
                <w:lang w:val="en-US"/>
              </w:rPr>
            </w:pPr>
            <w:r>
              <w:rPr>
                <w:rFonts w:eastAsia="Times New Roman" w:cs="Arial" w:ascii="Arial" w:hAnsi="Arial"/>
                <w:color w:val="000000"/>
                <w:sz w:val="24"/>
                <w:szCs w:val="24"/>
                <w:lang w:val="en-US"/>
              </w:rPr>
              <w:t>787.598</w:t>
            </w:r>
          </w:p>
        </w:tc>
      </w:tr>
      <w:tr>
        <w:trPr>
          <w:trHeight w:val="402" w:hRule="atLeast"/>
        </w:trPr>
        <w:tc>
          <w:tcPr>
            <w:tcW w:w="8190"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FLUXUL DE NUMERAR NET (A+B+C) = II-I</w:t>
            </w:r>
          </w:p>
        </w:tc>
        <w:tc>
          <w:tcPr>
            <w:tcW w:w="13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bCs/>
                <w:color w:val="000000"/>
                <w:sz w:val="24"/>
                <w:szCs w:val="24"/>
                <w:lang w:val="en-US"/>
              </w:rPr>
            </w:pPr>
            <w:r>
              <w:rPr>
                <w:rFonts w:eastAsia="Times New Roman" w:cs="Arial" w:ascii="Arial" w:hAnsi="Arial"/>
                <w:bCs/>
                <w:color w:val="000000"/>
                <w:sz w:val="24"/>
                <w:szCs w:val="24"/>
                <w:lang w:val="en-US"/>
              </w:rPr>
              <w:t>713.368</w:t>
            </w:r>
          </w:p>
        </w:tc>
      </w:tr>
    </w:tbl>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jc w:val="both"/>
        <w:rPr>
          <w:rFonts w:ascii="Arial" w:hAnsi="Arial" w:cs="Arial"/>
          <w:i/>
          <w:i/>
          <w:iCs/>
          <w:sz w:val="24"/>
          <w:szCs w:val="24"/>
        </w:rPr>
      </w:pPr>
      <w:r>
        <w:rPr>
          <w:rFonts w:cs="Arial" w:ascii="Arial" w:hAnsi="Arial"/>
          <w:i/>
          <w:iCs/>
          <w:sz w:val="24"/>
          <w:szCs w:val="24"/>
        </w:rPr>
      </w:r>
    </w:p>
    <w:p>
      <w:pPr>
        <w:pStyle w:val="Normal"/>
        <w:spacing w:lineRule="auto" w:line="240"/>
        <w:rPr>
          <w:rFonts w:ascii="Arial" w:hAnsi="Arial" w:cs="Arial"/>
          <w:b/>
          <w:b/>
          <w:bCs/>
          <w:sz w:val="24"/>
          <w:szCs w:val="24"/>
        </w:rPr>
      </w:pPr>
      <w:r>
        <w:rPr>
          <w:rFonts w:cs="Arial" w:ascii="Arial" w:hAnsi="Arial"/>
          <w:b/>
          <w:bCs/>
          <w:sz w:val="24"/>
          <w:szCs w:val="24"/>
        </w:rPr>
        <w:t>Performanța întreprinderii în anul anterior</w:t>
      </w:r>
    </w:p>
    <w:p>
      <w:pPr>
        <w:pStyle w:val="Normal"/>
        <w:spacing w:lineRule="auto" w:line="240"/>
        <w:rPr>
          <w:rFonts w:ascii="Arial" w:hAnsi="Arial" w:cs="Arial"/>
          <w:b/>
          <w:b/>
          <w:bCs/>
          <w:sz w:val="24"/>
          <w:szCs w:val="24"/>
        </w:rPr>
      </w:pPr>
      <w:r>
        <w:rPr>
          <w:rFonts w:cs="Arial" w:ascii="Arial" w:hAnsi="Arial"/>
          <w:b/>
          <w:bCs/>
          <w:sz w:val="24"/>
          <w:szCs w:val="24"/>
        </w:rPr>
      </w:r>
    </w:p>
    <w:tbl>
      <w:tblPr>
        <w:tblW w:w="9532" w:type="dxa"/>
        <w:jc w:val="center"/>
        <w:tblInd w:w="0" w:type="dxa"/>
        <w:tblLayout w:type="fixed"/>
        <w:tblCellMar>
          <w:top w:w="0" w:type="dxa"/>
          <w:left w:w="108" w:type="dxa"/>
          <w:bottom w:w="0" w:type="dxa"/>
          <w:right w:w="108" w:type="dxa"/>
        </w:tblCellMar>
        <w:tblLook w:val="04a0"/>
      </w:tblPr>
      <w:tblGrid>
        <w:gridCol w:w="773"/>
        <w:gridCol w:w="2831"/>
        <w:gridCol w:w="4683"/>
        <w:gridCol w:w="1244"/>
      </w:tblGrid>
      <w:tr>
        <w:trPr>
          <w:trHeight w:val="499" w:hRule="atLeast"/>
        </w:trPr>
        <w:tc>
          <w:tcPr>
            <w:tcW w:w="7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NR. CRT.</w:t>
            </w:r>
          </w:p>
        </w:tc>
        <w:tc>
          <w:tcPr>
            <w:tcW w:w="283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DENUMIRE</w:t>
            </w:r>
          </w:p>
        </w:tc>
        <w:tc>
          <w:tcPr>
            <w:tcW w:w="468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MOD DE CALCUL</w:t>
            </w:r>
          </w:p>
        </w:tc>
        <w:tc>
          <w:tcPr>
            <w:tcW w:w="124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0"/>
                <w:szCs w:val="20"/>
                <w:lang w:val="en-US"/>
              </w:rPr>
            </w:pPr>
            <w:r>
              <w:rPr>
                <w:rFonts w:cs="Arial" w:ascii="Arial" w:hAnsi="Arial"/>
                <w:bCs/>
                <w:color w:val="000000"/>
                <w:sz w:val="20"/>
                <w:szCs w:val="20"/>
                <w:lang w:val="en-US"/>
              </w:rPr>
              <w:t>REZULTAT</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1</w:t>
            </w:r>
          </w:p>
        </w:tc>
        <w:tc>
          <w:tcPr>
            <w:tcW w:w="8758"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bCs/>
                <w:color w:val="000000"/>
                <w:sz w:val="24"/>
                <w:szCs w:val="24"/>
                <w:lang w:val="en-US"/>
              </w:rPr>
            </w:pPr>
            <w:r>
              <w:rPr>
                <w:rFonts w:cs="Arial" w:ascii="Arial" w:hAnsi="Arial"/>
                <w:bCs/>
                <w:color w:val="000000"/>
                <w:sz w:val="24"/>
                <w:szCs w:val="24"/>
                <w:lang w:val="en-US"/>
              </w:rPr>
              <w:t>INDICATORI DE LICHIDITATE</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1.1</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Lichiditate curentă</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Active curente / Datorii curente</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1,15</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1.2</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Lichiditate imediată</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(Active curente - Stocuri) / Datorii curente</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1,05</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2</w:t>
            </w:r>
          </w:p>
        </w:tc>
        <w:tc>
          <w:tcPr>
            <w:tcW w:w="8758"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bCs/>
                <w:color w:val="000000"/>
                <w:sz w:val="24"/>
                <w:szCs w:val="24"/>
                <w:lang w:val="en-US"/>
              </w:rPr>
            </w:pPr>
            <w:r>
              <w:rPr>
                <w:rFonts w:cs="Arial" w:ascii="Arial" w:hAnsi="Arial"/>
                <w:bCs/>
                <w:color w:val="000000"/>
                <w:sz w:val="24"/>
                <w:szCs w:val="24"/>
                <w:lang w:val="en-US"/>
              </w:rPr>
              <w:t>INDICATORI DE RISC</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2.1</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Grad de îndatorare</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(Capital imprumutat / Capital angajat) x 100</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29,47</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2.2</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Grad de acoperire a dobânzilor</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Profit inaintea plății dobânzii și impozitului pe profit / Cheltuieli cu dobânda</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2,15</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3</w:t>
            </w:r>
          </w:p>
        </w:tc>
        <w:tc>
          <w:tcPr>
            <w:tcW w:w="8758"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bCs/>
                <w:color w:val="000000"/>
                <w:sz w:val="24"/>
                <w:szCs w:val="24"/>
                <w:lang w:val="en-US"/>
              </w:rPr>
            </w:pPr>
            <w:r>
              <w:rPr>
                <w:rFonts w:cs="Arial" w:ascii="Arial" w:hAnsi="Arial"/>
                <w:bCs/>
                <w:color w:val="000000"/>
                <w:sz w:val="24"/>
                <w:szCs w:val="24"/>
                <w:lang w:val="en-US"/>
              </w:rPr>
              <w:t>INDICATORI DE GESTIUNE</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3.1</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Viteza de rulaj a stocurilor</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Costul vânzărilor / Stoc mediu</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24,24</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3.2</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Rata de rulaj a stocurilor</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(Stoc mediu / Costul vânzărilor) x 365</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15,05</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3.3</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Viteza de rotație a debitelor - clienți</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(Sold mediu clienți / Cifra de afaceri ) x 365</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57,54</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3.4</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Viteza de rotație a creditelor - furnizori</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(Sold mediu furnizori / Cifra de afaceri ) x 365</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21,55</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3.5</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Viteza de rotație a activelor imobilizate</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Cifra de afaceri / Active imobilizate</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2,68</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3.6</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Viteza de rotație a activelor totale</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Cifra de afaceri / Active totale</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1,19</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bCs/>
                <w:color w:val="000000"/>
                <w:sz w:val="24"/>
                <w:szCs w:val="24"/>
                <w:lang w:val="en-US"/>
              </w:rPr>
            </w:pPr>
            <w:r>
              <w:rPr>
                <w:rFonts w:cs="Arial" w:ascii="Arial" w:hAnsi="Arial"/>
                <w:bCs/>
                <w:color w:val="000000"/>
                <w:sz w:val="24"/>
                <w:szCs w:val="24"/>
                <w:lang w:val="en-US"/>
              </w:rPr>
              <w:t>4</w:t>
            </w:r>
          </w:p>
        </w:tc>
        <w:tc>
          <w:tcPr>
            <w:tcW w:w="8758"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bCs/>
                <w:color w:val="000000"/>
                <w:sz w:val="24"/>
                <w:szCs w:val="24"/>
                <w:lang w:val="en-US"/>
              </w:rPr>
            </w:pPr>
            <w:r>
              <w:rPr>
                <w:rFonts w:cs="Arial" w:ascii="Arial" w:hAnsi="Arial"/>
                <w:bCs/>
                <w:color w:val="000000"/>
                <w:sz w:val="24"/>
                <w:szCs w:val="24"/>
                <w:lang w:val="en-US"/>
              </w:rPr>
              <w:t>INDICATORI DE PROFITABILITATE</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4.1</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Rentabilitatea capitalului angajat</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(Profit înaintea plății dobânzii și impozit pe profit / Capital angajat) x 100</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9,58</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4.2</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Marja brută din vânzări</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(Profit brut din vânzări / Cifra de afaceri) x 100</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4,16</w:t>
            </w:r>
          </w:p>
        </w:tc>
      </w:tr>
      <w:tr>
        <w:trPr>
          <w:trHeight w:val="499" w:hRule="atLeast"/>
        </w:trPr>
        <w:tc>
          <w:tcPr>
            <w:tcW w:w="77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lang w:val="en-US"/>
              </w:rPr>
            </w:pPr>
            <w:r>
              <w:rPr>
                <w:rFonts w:cs="Arial" w:ascii="Arial" w:hAnsi="Arial"/>
                <w:color w:val="000000"/>
                <w:sz w:val="24"/>
                <w:szCs w:val="24"/>
                <w:lang w:val="en-US"/>
              </w:rPr>
              <w:t>4.3</w:t>
            </w:r>
          </w:p>
        </w:tc>
        <w:tc>
          <w:tcPr>
            <w:tcW w:w="2831"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Rata rentabilității financiare</w:t>
            </w:r>
          </w:p>
        </w:tc>
        <w:tc>
          <w:tcPr>
            <w:tcW w:w="4683"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lang w:val="en-US"/>
              </w:rPr>
            </w:pPr>
            <w:r>
              <w:rPr>
                <w:rFonts w:cs="Arial" w:ascii="Arial" w:hAnsi="Arial"/>
                <w:color w:val="000000"/>
                <w:sz w:val="24"/>
                <w:szCs w:val="24"/>
                <w:lang w:val="en-US"/>
              </w:rPr>
              <w:t>(Profit net / Venituri totale) x 100</w:t>
            </w:r>
          </w:p>
        </w:tc>
        <w:tc>
          <w:tcPr>
            <w:tcW w:w="1244" w:type="dxa"/>
            <w:tcBorders>
              <w:bottom w:val="single" w:sz="4" w:space="0" w:color="000000"/>
              <w:right w:val="single" w:sz="4" w:space="0" w:color="000000"/>
            </w:tcBorders>
            <w:shd w:color="auto" w:fill="auto" w:val="clear"/>
            <w:vAlign w:val="center"/>
          </w:tcPr>
          <w:p>
            <w:pPr>
              <w:pStyle w:val="Normal"/>
              <w:widowControl w:val="false"/>
              <w:spacing w:before="0" w:after="120"/>
              <w:jc w:val="right"/>
              <w:rPr>
                <w:rFonts w:ascii="Arial" w:hAnsi="Arial" w:cs="Arial"/>
                <w:color w:val="000000"/>
                <w:sz w:val="24"/>
                <w:szCs w:val="24"/>
                <w:lang w:val="en-US"/>
              </w:rPr>
            </w:pPr>
            <w:r>
              <w:rPr>
                <w:rFonts w:cs="Arial" w:ascii="Arial" w:hAnsi="Arial"/>
                <w:color w:val="000000"/>
                <w:sz w:val="24"/>
                <w:szCs w:val="24"/>
                <w:lang w:val="en-US"/>
              </w:rPr>
              <w:t>1,62</w:t>
            </w:r>
          </w:p>
        </w:tc>
      </w:tr>
    </w:tbl>
    <w:p>
      <w:pPr>
        <w:pStyle w:val="ListParagraph"/>
        <w:spacing w:before="0" w:after="200"/>
        <w:ind w:left="0" w:hanging="0"/>
        <w:contextualSpacing/>
        <w:jc w:val="both"/>
        <w:rPr>
          <w:rFonts w:ascii="Arial" w:hAnsi="Arial" w:cs="Arial"/>
          <w:highlight w:val="yellow"/>
        </w:rPr>
      </w:pPr>
      <w:r>
        <w:rPr>
          <w:rFonts w:cs="Arial" w:ascii="Arial" w:hAnsi="Arial"/>
          <w:highlight w:val="yellow"/>
        </w:rPr>
      </w:r>
    </w:p>
    <w:p>
      <w:pPr>
        <w:pStyle w:val="ListParagraph"/>
        <w:spacing w:before="0" w:after="200"/>
        <w:ind w:left="1440" w:hanging="0"/>
        <w:contextualSpacing/>
        <w:jc w:val="both"/>
        <w:rPr>
          <w:rFonts w:ascii="Arial" w:hAnsi="Arial" w:cs="Arial"/>
          <w:highlight w:val="yellow"/>
        </w:rPr>
      </w:pPr>
      <w:r>
        <w:rPr>
          <w:rFonts w:cs="Arial" w:ascii="Arial" w:hAnsi="Arial"/>
          <w:highlight w:val="yellow"/>
        </w:rPr>
      </w:r>
    </w:p>
    <w:p>
      <w:pPr>
        <w:pStyle w:val="ListParagraph"/>
        <w:spacing w:before="0" w:after="200"/>
        <w:ind w:left="1440" w:hanging="0"/>
        <w:contextualSpacing/>
        <w:jc w:val="both"/>
        <w:rPr>
          <w:rFonts w:ascii="Arial" w:hAnsi="Arial" w:cs="Arial"/>
          <w:highlight w:val="yellow"/>
        </w:rPr>
      </w:pPr>
      <w:r>
        <w:rPr>
          <w:rFonts w:cs="Arial" w:ascii="Arial" w:hAnsi="Arial"/>
          <w:highlight w:val="yellow"/>
        </w:rPr>
      </w:r>
    </w:p>
    <w:p>
      <w:pPr>
        <w:pStyle w:val="Heading2"/>
        <w:tabs>
          <w:tab w:val="clear" w:pos="708"/>
          <w:tab w:val="left" w:pos="0" w:leader="none"/>
        </w:tabs>
        <w:jc w:val="both"/>
        <w:rPr>
          <w:rFonts w:ascii="Arial" w:hAnsi="Arial" w:cs="Arial"/>
          <w:b/>
          <w:b/>
          <w:bCs/>
        </w:rPr>
      </w:pPr>
      <w:bookmarkStart w:id="15" w:name="_Toc193471055"/>
      <w:r>
        <w:rPr>
          <w:rFonts w:cs="Arial" w:ascii="Arial" w:hAnsi="Arial"/>
          <w:b/>
          <w:bCs/>
        </w:rPr>
        <w:t>4.2 Guvernanța corporativă a companiei</w:t>
      </w:r>
      <w:bookmarkEnd w:id="15"/>
    </w:p>
    <w:p>
      <w:pPr>
        <w:pStyle w:val="Normal"/>
        <w:jc w:val="both"/>
        <w:rPr>
          <w:rFonts w:ascii="Arial" w:hAnsi="Arial" w:cs="Arial"/>
          <w:bCs/>
          <w:sz w:val="24"/>
          <w:szCs w:val="24"/>
        </w:rPr>
      </w:pPr>
      <w:r>
        <w:rPr>
          <w:rFonts w:cs="Arial" w:ascii="Arial" w:hAnsi="Arial"/>
          <w:bCs/>
          <w:sz w:val="24"/>
          <w:szCs w:val="24"/>
        </w:rPr>
        <w:t>Guvernanța corporativă a societății TRANSPORT PUBLIC S.A. este organizată și se desfășoară în concordanță cu cadrul legislativ din România, respectiv Legea nr. 31/1990 privind societățile și O.U.G. nr. 109/2011 privind guvernanța corporativă a instituțiilor publice.</w:t>
      </w:r>
    </w:p>
    <w:p>
      <w:pPr>
        <w:pStyle w:val="Normal"/>
        <w:jc w:val="both"/>
        <w:rPr>
          <w:rFonts w:ascii="Arial" w:hAnsi="Arial" w:cs="Arial"/>
          <w:bCs/>
          <w:sz w:val="24"/>
          <w:szCs w:val="24"/>
        </w:rPr>
      </w:pPr>
      <w:r>
        <w:rPr>
          <w:rFonts w:cs="Arial" w:ascii="Arial" w:hAnsi="Arial"/>
          <w:bCs/>
          <w:sz w:val="24"/>
          <w:szCs w:val="24"/>
        </w:rPr>
        <w:t>Potrivit Organizației pentru Cooperare și Dezvoltare Economică (OCDE) “</w:t>
      </w:r>
      <w:r>
        <w:rPr>
          <w:rFonts w:cs="Arial" w:ascii="Arial" w:hAnsi="Arial"/>
          <w:bCs/>
          <w:i/>
          <w:iCs/>
          <w:sz w:val="24"/>
          <w:szCs w:val="24"/>
        </w:rPr>
        <w:t>guvernanța corporativă specifică distribuția drepturilor și responsabilităților diferitelor categorii de persoane implicate în companie: administratorii, directorii, acționarii și alte categorii, și stabileste regulile și procedeele de luare a deciziilor privind activitatea unei companii</w:t>
      </w:r>
      <w:r>
        <w:rPr>
          <w:rFonts w:cs="Arial" w:ascii="Arial" w:hAnsi="Arial"/>
          <w:bCs/>
          <w:sz w:val="24"/>
          <w:szCs w:val="24"/>
        </w:rPr>
        <w:t>”.</w:t>
      </w:r>
    </w:p>
    <w:p>
      <w:pPr>
        <w:pStyle w:val="Normal"/>
        <w:jc w:val="both"/>
        <w:rPr>
          <w:rFonts w:ascii="Arial" w:hAnsi="Arial" w:cs="Arial"/>
          <w:bCs/>
          <w:sz w:val="24"/>
          <w:szCs w:val="24"/>
        </w:rPr>
      </w:pPr>
      <w:r>
        <w:rPr>
          <w:rFonts w:cs="Arial" w:ascii="Arial" w:hAnsi="Arial"/>
          <w:bCs/>
          <w:sz w:val="24"/>
          <w:szCs w:val="24"/>
        </w:rPr>
        <w:t>Având în vedere principiile guvernanței corporative dezvoltate de OCDE, O.U.G. nr. 109/2011 definește guvernanța corporativă a instituțiilor publice ca fiind “</w:t>
      </w:r>
      <w:r>
        <w:rPr>
          <w:rFonts w:cs="Arial" w:ascii="Arial" w:hAnsi="Arial"/>
          <w:bCs/>
          <w:i/>
          <w:iCs/>
          <w:sz w:val="24"/>
          <w:szCs w:val="24"/>
        </w:rPr>
        <w:t>ansamblul de reguli, proceduri și procese pentru administrarea și conducerea întreprinderii publice, care determină modul în care sunt stabilite drepturile și obligațiile diferiților participanți, respectiv structura de guvernanță a întreprinderii publice, precum și consiliul de administrație și de supraveghere, directori și directorat, acționari și alte persoane interesate, care stabilesc structura și funcționarea sistemului decizional, având drept scop asigurarea conformității direcției strategice a întreprinderii publice, precum și a conducerii acesteia cu standardele de bună guvernanță corporativă cuprinse în Principiile OCDE de guvernanță corporativă, precum și în Ghidul OCDE privind guvernanța corporativă a întreprinderilor publice</w:t>
      </w:r>
      <w:r>
        <w:rPr>
          <w:rFonts w:cs="Arial" w:ascii="Arial" w:hAnsi="Arial"/>
          <w:bCs/>
          <w:sz w:val="24"/>
          <w:szCs w:val="24"/>
        </w:rPr>
        <w:t>”.</w:t>
      </w:r>
    </w:p>
    <w:p>
      <w:pPr>
        <w:pStyle w:val="Normal"/>
        <w:jc w:val="both"/>
        <w:rPr>
          <w:rFonts w:ascii="Arial" w:hAnsi="Arial" w:cs="Arial"/>
          <w:bCs/>
          <w:sz w:val="24"/>
          <w:szCs w:val="24"/>
        </w:rPr>
      </w:pPr>
      <w:r>
        <w:rPr>
          <w:rFonts w:cs="Arial" w:ascii="Arial" w:hAnsi="Arial"/>
          <w:bCs/>
          <w:sz w:val="24"/>
          <w:szCs w:val="24"/>
        </w:rPr>
        <w:t>Modelul de guvernare internă a societății TRANSPORT PUBLIC S.A. prezint</w:t>
      </w:r>
      <w:r>
        <w:rPr>
          <w:rFonts w:cs="Arial" w:ascii="Arial" w:hAnsi="Arial"/>
          <w:bCs/>
          <w:sz w:val="24"/>
          <w:szCs w:val="24"/>
        </w:rPr>
        <w:t>ă</w:t>
      </w:r>
      <w:r>
        <w:rPr>
          <w:rFonts w:cs="Arial" w:ascii="Arial" w:hAnsi="Arial"/>
          <w:bCs/>
          <w:sz w:val="24"/>
          <w:szCs w:val="24"/>
        </w:rPr>
        <w:t xml:space="preserve"> cu precădere principalele </w:t>
      </w:r>
      <w:r>
        <w:rPr>
          <w:rFonts w:cs="Arial" w:ascii="Arial" w:hAnsi="Arial"/>
          <w:sz w:val="24"/>
          <w:szCs w:val="24"/>
        </w:rPr>
        <w:t xml:space="preserve">atribuții și responsabilități ale structurilor de conducere și de administrare ale societății, </w:t>
      </w:r>
      <w:r>
        <w:rPr>
          <w:rFonts w:cs="Arial" w:ascii="Arial" w:hAnsi="Arial"/>
          <w:bCs/>
          <w:sz w:val="24"/>
          <w:szCs w:val="24"/>
        </w:rPr>
        <w:t>structurile de guvernanță corporativă fiind:</w:t>
      </w:r>
    </w:p>
    <w:p>
      <w:pPr>
        <w:pStyle w:val="ListParagraph"/>
        <w:numPr>
          <w:ilvl w:val="0"/>
          <w:numId w:val="9"/>
        </w:numPr>
        <w:jc w:val="both"/>
        <w:rPr>
          <w:rFonts w:ascii="Arial" w:hAnsi="Arial" w:cs="Arial"/>
          <w:bCs/>
          <w:sz w:val="24"/>
          <w:szCs w:val="24"/>
        </w:rPr>
      </w:pPr>
      <w:r>
        <w:rPr>
          <w:rFonts w:cs="Arial" w:ascii="Arial" w:hAnsi="Arial"/>
          <w:bCs/>
          <w:sz w:val="24"/>
          <w:szCs w:val="24"/>
        </w:rPr>
        <w:t>Adunarea Generală a Acționarilor</w:t>
      </w:r>
    </w:p>
    <w:p>
      <w:pPr>
        <w:pStyle w:val="ListParagraph"/>
        <w:numPr>
          <w:ilvl w:val="0"/>
          <w:numId w:val="9"/>
        </w:numPr>
        <w:jc w:val="both"/>
        <w:rPr>
          <w:rFonts w:ascii="Arial" w:hAnsi="Arial" w:cs="Arial"/>
          <w:bCs/>
          <w:sz w:val="24"/>
          <w:szCs w:val="24"/>
        </w:rPr>
      </w:pPr>
      <w:r>
        <w:rPr>
          <w:rFonts w:cs="Arial" w:ascii="Arial" w:hAnsi="Arial"/>
          <w:bCs/>
          <w:sz w:val="24"/>
          <w:szCs w:val="24"/>
        </w:rPr>
        <w:t>Consiliul de Administrație</w:t>
      </w:r>
    </w:p>
    <w:p>
      <w:pPr>
        <w:pStyle w:val="ListParagraph"/>
        <w:numPr>
          <w:ilvl w:val="0"/>
          <w:numId w:val="9"/>
        </w:numPr>
        <w:jc w:val="both"/>
        <w:rPr>
          <w:rFonts w:ascii="Arial" w:hAnsi="Arial" w:cs="Arial"/>
          <w:bCs/>
          <w:sz w:val="24"/>
          <w:szCs w:val="24"/>
        </w:rPr>
      </w:pPr>
      <w:r>
        <w:rPr>
          <w:rFonts w:cs="Arial" w:ascii="Arial" w:hAnsi="Arial"/>
          <w:bCs/>
          <w:sz w:val="24"/>
          <w:szCs w:val="24"/>
        </w:rPr>
        <w:t>Directorul General</w:t>
      </w:r>
    </w:p>
    <w:p>
      <w:pPr>
        <w:pStyle w:val="Heading2"/>
        <w:tabs>
          <w:tab w:val="clear" w:pos="708"/>
          <w:tab w:val="left" w:pos="0" w:leader="none"/>
        </w:tabs>
        <w:jc w:val="both"/>
        <w:rPr>
          <w:rFonts w:ascii="Arial" w:hAnsi="Arial" w:cs="Arial"/>
          <w:b/>
          <w:b/>
          <w:bCs/>
          <w:sz w:val="24"/>
        </w:rPr>
      </w:pPr>
      <w:bookmarkStart w:id="16" w:name="_Toc193471056"/>
      <w:r>
        <w:rPr>
          <w:rFonts w:cs="Arial" w:ascii="Arial" w:hAnsi="Arial"/>
          <w:b/>
          <w:bCs/>
          <w:sz w:val="24"/>
        </w:rPr>
        <w:t>4.2.1 Adunarea Generală a Acționarilor</w:t>
      </w:r>
      <w:bookmarkEnd w:id="16"/>
    </w:p>
    <w:p>
      <w:pPr>
        <w:pStyle w:val="Normal"/>
        <w:jc w:val="both"/>
        <w:rPr>
          <w:rFonts w:ascii="Arial" w:hAnsi="Arial" w:cs="Arial"/>
          <w:bCs/>
          <w:sz w:val="24"/>
          <w:szCs w:val="24"/>
        </w:rPr>
      </w:pPr>
      <w:r>
        <w:rPr>
          <w:rFonts w:cs="Arial" w:ascii="Arial" w:hAnsi="Arial"/>
          <w:bCs/>
          <w:sz w:val="24"/>
          <w:szCs w:val="24"/>
        </w:rPr>
        <w:t xml:space="preserve">Adunarea Generală a Acționarilor (AGA) este principalul organism de guvernare corporativă a Societății, care decide asupra activității, politicii economice și de afaceri a Societății, care guvernează activitatea legală și statutară a acesteia, în conformitate cu Actul Constitutiv și cu legislația aplicabilă. </w:t>
      </w:r>
    </w:p>
    <w:p>
      <w:pPr>
        <w:pStyle w:val="Normal"/>
        <w:jc w:val="both"/>
        <w:rPr>
          <w:rFonts w:ascii="Arial" w:hAnsi="Arial" w:cs="Arial"/>
          <w:bCs/>
          <w:sz w:val="24"/>
          <w:szCs w:val="24"/>
        </w:rPr>
      </w:pPr>
      <w:r>
        <w:rPr>
          <w:rFonts w:cs="Arial" w:ascii="Arial" w:hAnsi="Arial"/>
          <w:bCs/>
          <w:sz w:val="24"/>
          <w:szCs w:val="24"/>
        </w:rPr>
        <w:t>Adunările generale ale acționarilor pot fi ordinare și extraordinare.  Adunările acționarilor sunt convocate de către Consiliul de Administrație, deschise și prezidate de Președintele Consiliului de Administrație.</w:t>
      </w:r>
    </w:p>
    <w:p>
      <w:pPr>
        <w:pStyle w:val="Normal"/>
        <w:jc w:val="both"/>
        <w:rPr>
          <w:rFonts w:ascii="Arial" w:hAnsi="Arial" w:cs="Arial"/>
          <w:bCs/>
          <w:sz w:val="24"/>
          <w:szCs w:val="24"/>
        </w:rPr>
      </w:pPr>
      <w:r>
        <w:rPr>
          <w:rFonts w:cs="Arial" w:ascii="Arial" w:hAnsi="Arial"/>
          <w:bCs/>
          <w:sz w:val="24"/>
          <w:szCs w:val="24"/>
        </w:rPr>
        <w:t>Adunarea generală ordinară se întrunește cel putin odată pe an, în cel mult 5 luni de la încheierea exercițiului financiar și are atribuțiile prevăzute de lege.</w:t>
      </w:r>
    </w:p>
    <w:p>
      <w:pPr>
        <w:pStyle w:val="Normal"/>
        <w:jc w:val="both"/>
        <w:rPr>
          <w:rFonts w:ascii="Arial" w:hAnsi="Arial" w:cs="Arial"/>
          <w:bCs/>
          <w:sz w:val="24"/>
          <w:szCs w:val="24"/>
        </w:rPr>
      </w:pPr>
      <w:r>
        <w:rPr>
          <w:rFonts w:cs="Arial" w:ascii="Arial" w:hAnsi="Arial"/>
          <w:bCs/>
          <w:sz w:val="24"/>
          <w:szCs w:val="24"/>
        </w:rPr>
        <w:t>Adunarea generală extraordinară a acționarilor se întrunește ori de câte ori este necesar a se lua o hotărâre ce intră în atribuțiile sale.</w:t>
      </w:r>
    </w:p>
    <w:p>
      <w:pPr>
        <w:pStyle w:val="Normal"/>
        <w:spacing w:lineRule="auto" w:line="240"/>
        <w:jc w:val="both"/>
        <w:rPr>
          <w:rFonts w:ascii="Arial" w:hAnsi="Arial" w:cs="Arial"/>
          <w:bCs/>
          <w:sz w:val="24"/>
          <w:szCs w:val="24"/>
        </w:rPr>
      </w:pPr>
      <w:r>
        <w:rPr>
          <w:rFonts w:cs="Arial" w:ascii="Arial" w:hAnsi="Arial"/>
          <w:bCs/>
          <w:sz w:val="24"/>
          <w:szCs w:val="24"/>
        </w:rPr>
      </w:r>
    </w:p>
    <w:p>
      <w:pPr>
        <w:pStyle w:val="Heading2"/>
        <w:tabs>
          <w:tab w:val="clear" w:pos="708"/>
          <w:tab w:val="left" w:pos="0" w:leader="none"/>
        </w:tabs>
        <w:jc w:val="both"/>
        <w:rPr>
          <w:rFonts w:ascii="Arial" w:hAnsi="Arial" w:cs="Arial"/>
          <w:b/>
          <w:b/>
          <w:bCs/>
          <w:sz w:val="24"/>
        </w:rPr>
      </w:pPr>
      <w:bookmarkStart w:id="17" w:name="_Toc193471057"/>
      <w:r>
        <w:rPr>
          <w:rFonts w:cs="Arial" w:ascii="Arial" w:hAnsi="Arial"/>
          <w:b/>
          <w:bCs/>
          <w:sz w:val="24"/>
        </w:rPr>
        <w:t>4.2.2 Consiliul de Administrație</w:t>
      </w:r>
      <w:bookmarkEnd w:id="17"/>
    </w:p>
    <w:p>
      <w:pPr>
        <w:pStyle w:val="Normal"/>
        <w:jc w:val="both"/>
        <w:rPr>
          <w:rFonts w:ascii="Arial" w:hAnsi="Arial" w:cs="Arial"/>
          <w:bCs/>
          <w:sz w:val="24"/>
          <w:szCs w:val="24"/>
        </w:rPr>
      </w:pPr>
      <w:r>
        <w:rPr>
          <w:rFonts w:cs="Arial" w:ascii="Arial" w:hAnsi="Arial"/>
          <w:bCs/>
          <w:sz w:val="24"/>
          <w:szCs w:val="24"/>
        </w:rPr>
        <w:t>Sistemul de administrare al Societății este unitar, aceasta fiind administrată de un Consiliu de administrație format din 3 membri, cu puteri depline, acționând împreună. Durata mandatului membrilor Consiliului de administrație al societății este de maxim 4 ani.</w:t>
      </w:r>
    </w:p>
    <w:p>
      <w:pPr>
        <w:pStyle w:val="BodyText1"/>
        <w:spacing w:lineRule="auto" w:line="276"/>
        <w:ind w:hanging="0"/>
        <w:jc w:val="both"/>
        <w:rPr>
          <w:rFonts w:ascii="Arial" w:hAnsi="Arial" w:cs="Arial"/>
        </w:rPr>
      </w:pPr>
      <w:r>
        <w:rPr>
          <w:rStyle w:val="Bodytext"/>
          <w:rFonts w:eastAsia="Courier New" w:cs="Arial" w:ascii="Arial" w:hAnsi="Arial"/>
          <w:color w:val="auto"/>
        </w:rPr>
        <w:t>Consiliul de administrație este însărcinat cu îndeplinirea tuturor actelor necesare și utile pentru realizarea obiectului de activitate al societății, cu excepția celor rezervate de lege pentru adunarea generală a acționarilor.</w:t>
      </w:r>
    </w:p>
    <w:p>
      <w:pPr>
        <w:pStyle w:val="BodyText1"/>
        <w:spacing w:lineRule="auto" w:line="276"/>
        <w:ind w:hanging="0"/>
        <w:jc w:val="both"/>
        <w:rPr>
          <w:rFonts w:ascii="Arial" w:hAnsi="Arial" w:cs="Arial"/>
        </w:rPr>
      </w:pPr>
      <w:r>
        <w:rPr>
          <w:rStyle w:val="Bodytext"/>
          <w:rFonts w:eastAsia="Courier New" w:cs="Arial" w:ascii="Arial" w:hAnsi="Arial"/>
          <w:color w:val="auto"/>
        </w:rPr>
        <w:t>Consiliul de administrație are următoarele competențe de bază, care nu pot fi delegate directorilor:</w:t>
      </w:r>
    </w:p>
    <w:p>
      <w:pPr>
        <w:pStyle w:val="BodyText1"/>
        <w:numPr>
          <w:ilvl w:val="0"/>
          <w:numId w:val="19"/>
        </w:numPr>
        <w:spacing w:lineRule="auto" w:line="276"/>
        <w:jc w:val="both"/>
        <w:rPr>
          <w:rFonts w:ascii="Arial" w:hAnsi="Arial" w:cs="Arial"/>
        </w:rPr>
      </w:pPr>
      <w:r>
        <w:rPr>
          <w:rStyle w:val="Bodytext"/>
          <w:rFonts w:eastAsia="Courier New" w:cs="Arial" w:ascii="Arial" w:hAnsi="Arial"/>
          <w:color w:val="auto"/>
        </w:rPr>
        <w:t>stabilirea direcțiilor principale de activitate și de dezvoltare ale societății;</w:t>
      </w:r>
    </w:p>
    <w:p>
      <w:pPr>
        <w:pStyle w:val="BodyText1"/>
        <w:numPr>
          <w:ilvl w:val="0"/>
          <w:numId w:val="19"/>
        </w:numPr>
        <w:spacing w:lineRule="auto" w:line="276"/>
        <w:jc w:val="both"/>
        <w:rPr>
          <w:rFonts w:ascii="Arial" w:hAnsi="Arial" w:cs="Arial"/>
        </w:rPr>
      </w:pPr>
      <w:r>
        <w:rPr>
          <w:rStyle w:val="Bodytext"/>
          <w:rFonts w:eastAsia="Courier New" w:cs="Arial" w:ascii="Arial" w:hAnsi="Arial"/>
          <w:color w:val="auto"/>
        </w:rPr>
        <w:t>stabilirea politicilor contabile și a sistemului de control financiar, precum și aprobarea planificării financiare;</w:t>
      </w:r>
    </w:p>
    <w:p>
      <w:pPr>
        <w:pStyle w:val="BodyText1"/>
        <w:numPr>
          <w:ilvl w:val="0"/>
          <w:numId w:val="19"/>
        </w:numPr>
        <w:spacing w:lineRule="auto" w:line="276"/>
        <w:jc w:val="both"/>
        <w:rPr>
          <w:rFonts w:ascii="Arial" w:hAnsi="Arial" w:cs="Arial"/>
        </w:rPr>
      </w:pPr>
      <w:r>
        <w:rPr>
          <w:rStyle w:val="Bodytext"/>
          <w:rFonts w:eastAsia="Courier New" w:cs="Arial" w:ascii="Arial" w:hAnsi="Arial"/>
          <w:color w:val="auto"/>
        </w:rPr>
        <w:t>numirea și revocarea directorilor (general și ceilalți directori ai societății) și stabilirea remunerației lor;</w:t>
      </w:r>
    </w:p>
    <w:p>
      <w:pPr>
        <w:pStyle w:val="BodyText1"/>
        <w:numPr>
          <w:ilvl w:val="0"/>
          <w:numId w:val="19"/>
        </w:numPr>
        <w:spacing w:lineRule="auto" w:line="276"/>
        <w:jc w:val="both"/>
        <w:rPr>
          <w:rFonts w:ascii="Arial" w:hAnsi="Arial" w:cs="Arial"/>
        </w:rPr>
      </w:pPr>
      <w:r>
        <w:rPr>
          <w:rStyle w:val="Bodytext"/>
          <w:rFonts w:eastAsia="Courier New" w:cs="Arial" w:ascii="Arial" w:hAnsi="Arial"/>
          <w:color w:val="auto"/>
        </w:rPr>
        <w:t>supravegherea activității directorilor;</w:t>
      </w:r>
    </w:p>
    <w:p>
      <w:pPr>
        <w:pStyle w:val="BodyText1"/>
        <w:numPr>
          <w:ilvl w:val="0"/>
          <w:numId w:val="19"/>
        </w:numPr>
        <w:spacing w:lineRule="auto" w:line="276"/>
        <w:jc w:val="both"/>
        <w:rPr>
          <w:rFonts w:ascii="Arial" w:hAnsi="Arial" w:cs="Arial"/>
        </w:rPr>
      </w:pPr>
      <w:r>
        <w:rPr>
          <w:rStyle w:val="Bodytext"/>
          <w:rFonts w:eastAsia="Courier New" w:cs="Arial" w:ascii="Arial" w:hAnsi="Arial"/>
          <w:color w:val="auto"/>
        </w:rPr>
        <w:t>pregătirea raportului anual, organizarea adunării generale a acționarilor și implementarea hotărârilor acesteia;</w:t>
      </w:r>
    </w:p>
    <w:p>
      <w:pPr>
        <w:pStyle w:val="BodyText1"/>
        <w:numPr>
          <w:ilvl w:val="0"/>
          <w:numId w:val="19"/>
        </w:numPr>
        <w:spacing w:lineRule="auto" w:line="276"/>
        <w:jc w:val="both"/>
        <w:rPr>
          <w:rFonts w:ascii="Arial" w:hAnsi="Arial" w:cs="Arial"/>
        </w:rPr>
      </w:pPr>
      <w:r>
        <w:rPr>
          <w:rStyle w:val="Bodytext"/>
          <w:rFonts w:eastAsia="Courier New" w:cs="Arial" w:ascii="Arial" w:hAnsi="Arial"/>
          <w:color w:val="auto"/>
        </w:rPr>
        <w:t>introducerea cererii pentru deschiderea procedurii insolvenței societății, potrivit Legii nr. 85/2006 privind procedura insolvenței.</w:t>
      </w:r>
    </w:p>
    <w:p>
      <w:pPr>
        <w:pStyle w:val="Heading2"/>
        <w:tabs>
          <w:tab w:val="clear" w:pos="708"/>
          <w:tab w:val="left" w:pos="0" w:leader="none"/>
        </w:tabs>
        <w:jc w:val="both"/>
        <w:rPr>
          <w:rFonts w:ascii="Arial" w:hAnsi="Arial" w:cs="Arial"/>
          <w:b/>
          <w:b/>
          <w:bCs/>
          <w:sz w:val="24"/>
        </w:rPr>
      </w:pPr>
      <w:bookmarkStart w:id="18" w:name="_Toc193471058"/>
      <w:r>
        <w:rPr>
          <w:rFonts w:cs="Arial" w:ascii="Arial" w:hAnsi="Arial"/>
          <w:b/>
          <w:bCs/>
          <w:sz w:val="24"/>
        </w:rPr>
        <w:t>4.2.3 Conducerea executivă a societății</w:t>
      </w:r>
      <w:bookmarkEnd w:id="18"/>
    </w:p>
    <w:p>
      <w:pPr>
        <w:pStyle w:val="Normal"/>
        <w:jc w:val="both"/>
        <w:rPr>
          <w:rFonts w:ascii="Arial" w:hAnsi="Arial" w:cs="Arial"/>
          <w:bCs/>
          <w:sz w:val="24"/>
          <w:szCs w:val="24"/>
        </w:rPr>
      </w:pPr>
      <w:r>
        <w:rPr>
          <w:rFonts w:cs="Arial" w:ascii="Arial" w:hAnsi="Arial"/>
          <w:bCs/>
          <w:sz w:val="24"/>
          <w:szCs w:val="24"/>
        </w:rPr>
        <w:t>Conducerea executivă a societății TRANSPORT PUBLIC S.A. este asigurată de către Directorul General. Acesta este numit de către Consiliul de Administrație, conform prevederilor legale și este răspunzător de administrarea operativă, curentă a societății, în limita legislației în vigoare. Responsabilitățile Directorului general sunt stabilite prin contractul de mandat.</w:t>
      </w:r>
    </w:p>
    <w:p>
      <w:pPr>
        <w:pStyle w:val="Normal"/>
        <w:jc w:val="both"/>
        <w:rPr>
          <w:rFonts w:ascii="Arial" w:hAnsi="Arial" w:cs="Arial"/>
          <w:bCs/>
          <w:sz w:val="24"/>
          <w:szCs w:val="24"/>
        </w:rPr>
      </w:pPr>
      <w:r>
        <w:rPr>
          <w:rFonts w:cs="Arial" w:ascii="Arial" w:hAnsi="Arial"/>
          <w:bCs/>
          <w:sz w:val="24"/>
          <w:szCs w:val="24"/>
        </w:rPr>
        <w:t>Prin Decizia Consiliului de Administrație nr. 2/2023, în urma organizării procedurii de selecție conform prevederilor O.U.G. nr. 109/2011, domnul Udrea Iacob Aurelian a fost numit Director General cu un mandat de 4 ani.</w:t>
      </w:r>
    </w:p>
    <w:p>
      <w:pPr>
        <w:pStyle w:val="Heading2"/>
        <w:tabs>
          <w:tab w:val="clear" w:pos="708"/>
          <w:tab w:val="left" w:pos="0" w:leader="none"/>
        </w:tabs>
        <w:jc w:val="both"/>
        <w:rPr>
          <w:rFonts w:ascii="Arial" w:hAnsi="Arial" w:cs="Arial"/>
          <w:b/>
          <w:b/>
          <w:bCs/>
        </w:rPr>
      </w:pPr>
      <w:bookmarkStart w:id="19" w:name="_Toc193471059"/>
      <w:r>
        <w:rPr>
          <w:rFonts w:cs="Arial" w:ascii="Arial" w:hAnsi="Arial"/>
          <w:b/>
          <w:bCs/>
        </w:rPr>
        <w:t>4.3  Activitatea întreprinderii</w:t>
      </w:r>
      <w:bookmarkEnd w:id="19"/>
    </w:p>
    <w:p>
      <w:pPr>
        <w:pStyle w:val="Heading2"/>
        <w:tabs>
          <w:tab w:val="clear" w:pos="708"/>
          <w:tab w:val="left" w:pos="0" w:leader="none"/>
        </w:tabs>
        <w:jc w:val="both"/>
        <w:rPr>
          <w:rFonts w:ascii="Arial" w:hAnsi="Arial" w:cs="Arial"/>
          <w:b/>
          <w:b/>
          <w:bCs/>
          <w:sz w:val="24"/>
        </w:rPr>
      </w:pPr>
      <w:bookmarkStart w:id="20" w:name="_Toc193471060"/>
      <w:r>
        <w:rPr>
          <w:rFonts w:cs="Arial" w:ascii="Arial" w:hAnsi="Arial"/>
          <w:b/>
          <w:bCs/>
          <w:sz w:val="24"/>
        </w:rPr>
        <w:t>4.3.1 Rezultate și indicatori tehnici de producție</w:t>
      </w:r>
      <w:bookmarkEnd w:id="20"/>
    </w:p>
    <w:p>
      <w:pPr>
        <w:pStyle w:val="Normal"/>
        <w:jc w:val="both"/>
        <w:rPr>
          <w:rFonts w:ascii="Arial" w:hAnsi="Arial" w:cs="Arial"/>
          <w:sz w:val="24"/>
          <w:szCs w:val="24"/>
        </w:rPr>
      </w:pPr>
      <w:r>
        <w:rPr>
          <w:rFonts w:cs="Arial" w:ascii="Arial" w:hAnsi="Arial"/>
          <w:sz w:val="24"/>
          <w:szCs w:val="24"/>
        </w:rPr>
        <w:t xml:space="preserve">În anul 2024 activitatea societăţii a fost centrată pe asigurarea transportului în comun, atât cu mijloacele de transport auto cât şi cel naval, pentru populaţia municipiului Tulcea. Astfel, în domeniul transportului auto societatea a realizat curse zilnice, între orele 05:00 – 24:45, conform programului de transport stabilit prin contractul de delegare, pe un numar de 14 trasee în municipiul Tulcea. În domeniul transportului naval, în perioada de referinţă s-a asigurat transportul pasagerilor între municipiul Tulcea şi suburbia Tudor Vladimirescu, nava din dotare executând un număr zilnic de aproximativ 27-30 de curse între orele 06:00-23:30, tur-retur. </w:t>
      </w:r>
    </w:p>
    <w:p>
      <w:pPr>
        <w:pStyle w:val="Normal"/>
        <w:jc w:val="both"/>
        <w:rPr>
          <w:rFonts w:ascii="Arial" w:hAnsi="Arial" w:cs="Arial"/>
          <w:sz w:val="24"/>
          <w:szCs w:val="24"/>
        </w:rPr>
      </w:pPr>
      <w:r>
        <w:rPr>
          <w:rFonts w:cs="Arial" w:ascii="Arial" w:hAnsi="Arial"/>
          <w:sz w:val="24"/>
          <w:szCs w:val="24"/>
        </w:rPr>
        <w:t>Serviciul de transport public în municipiul Tulcea a fost asigurat continuu, conform prevederilor contractului de delegare, rata de curse nerealizate din culpa operatorului a fost de 1,5%, în principal din cauza faptului că, în primele 4 luni ale anului programul de transport s-a realizat cu autobuze foarte vechi, care s-au defectat foarte des, fiind retrase temporar din circulație, pentru reparații.</w:t>
      </w:r>
    </w:p>
    <w:p>
      <w:pPr>
        <w:pStyle w:val="Normal"/>
        <w:jc w:val="both"/>
        <w:rPr>
          <w:rFonts w:ascii="Arial" w:hAnsi="Arial" w:cs="Arial"/>
          <w:sz w:val="24"/>
          <w:szCs w:val="24"/>
        </w:rPr>
      </w:pPr>
      <w:r>
        <w:rPr>
          <w:rFonts w:cs="Arial" w:ascii="Arial" w:hAnsi="Arial"/>
          <w:sz w:val="24"/>
          <w:szCs w:val="24"/>
        </w:rPr>
        <w:t>Începând cu luna mai au fost puse în circulație un număr de 30 autobuze electrice marca Granton, furnizate de BMC România, achiziționate de autoritatea publică locală a municipiului Tulcea, prin proiecte cu fonduri nerambursabile. În același timp au fost puse în funcțiune un număr de 10 stații de încărcare lentă pentru autobuzele electrice, la sediul societății, precum și 3 stații de încărcare rapidă, situate în municipiul Tulcea, la capete de traseu. Astfel, parcul auto al operatorului s-a înnoit, reducându-se considerabil gradul mediu de vechime al flotei, fapt ce a generat reducerea numărului de curse neefectuate din vina operatorului.</w:t>
      </w:r>
    </w:p>
    <w:tbl>
      <w:tblPr>
        <w:tblW w:w="9249" w:type="dxa"/>
        <w:jc w:val="center"/>
        <w:tblInd w:w="0" w:type="dxa"/>
        <w:tblLayout w:type="fixed"/>
        <w:tblCellMar>
          <w:top w:w="0" w:type="dxa"/>
          <w:left w:w="108" w:type="dxa"/>
          <w:bottom w:w="0" w:type="dxa"/>
          <w:right w:w="108" w:type="dxa"/>
        </w:tblCellMar>
        <w:tblLook w:val="04a0"/>
      </w:tblPr>
      <w:tblGrid>
        <w:gridCol w:w="681"/>
        <w:gridCol w:w="7348"/>
        <w:gridCol w:w="1220"/>
      </w:tblGrid>
      <w:tr>
        <w:trPr>
          <w:trHeight w:val="480" w:hRule="atLeast"/>
        </w:trPr>
        <w:tc>
          <w:tcPr>
            <w:tcW w:w="6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Nr. crt.</w:t>
            </w:r>
          </w:p>
        </w:tc>
        <w:tc>
          <w:tcPr>
            <w:tcW w:w="734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Indicator</w:t>
            </w:r>
          </w:p>
        </w:tc>
        <w:tc>
          <w:tcPr>
            <w:tcW w:w="122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Realizat</w:t>
            </w:r>
          </w:p>
        </w:tc>
      </w:tr>
      <w:tr>
        <w:trPr>
          <w:trHeight w:val="390"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1</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 total de curse programate</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81.294</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2</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Numărul de curse, trasee pe care operatorul a suspendat sau a întârziat executarea transportului față de programul de circulație</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2.190</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3</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Numărul de trasee pe care operatorul nu a efectuat transportul public local de călători pe o perioadă mai mare de 24 ore</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0</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4</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Numărul total de mijloace de transport utilizate zilnic comparativ cu numărul necesar pentru realizarea programului de circulație</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31/31</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5</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Despăgubirile plătite de către operatorul de transport pentru nerespectarea condițiilor de calitate și de mediu în activitatea de transport</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0</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6</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Numărul abaterilor constatate și sancționate de personalul împuternicit pentru nerespectarea prevederilor legale privind transportul public</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0</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7</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Numărul de accidente circulație total</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20</w:t>
            </w:r>
          </w:p>
        </w:tc>
      </w:tr>
      <w:tr>
        <w:trPr>
          <w:trHeight w:val="499" w:hRule="atLeast"/>
        </w:trPr>
        <w:tc>
          <w:tcPr>
            <w:tcW w:w="6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8</w:t>
            </w:r>
          </w:p>
        </w:tc>
        <w:tc>
          <w:tcPr>
            <w:tcW w:w="7348" w:type="dxa"/>
            <w:tcBorders>
              <w:bottom w:val="single" w:sz="4" w:space="0" w:color="000000"/>
              <w:right w:val="single" w:sz="4" w:space="0" w:color="000000"/>
            </w:tcBorders>
            <w:shd w:color="auto" w:fill="auto" w:val="clear"/>
            <w:vAlign w:val="center"/>
          </w:tcPr>
          <w:p>
            <w:pPr>
              <w:pStyle w:val="Normal"/>
              <w:widowControl w:val="false"/>
              <w:spacing w:before="0" w:after="120"/>
              <w:rPr>
                <w:rFonts w:ascii="Arial" w:hAnsi="Arial" w:cs="Arial"/>
                <w:color w:val="000000"/>
                <w:sz w:val="24"/>
                <w:szCs w:val="24"/>
              </w:rPr>
            </w:pPr>
            <w:r>
              <w:rPr>
                <w:rFonts w:cs="Arial" w:ascii="Arial" w:hAnsi="Arial"/>
                <w:color w:val="000000"/>
                <w:sz w:val="24"/>
                <w:szCs w:val="24"/>
              </w:rPr>
              <w:t>Numărul de accidente de circulație produse din vina personalului propriu sau a operatorului de transport autorizat</w:t>
            </w:r>
          </w:p>
        </w:tc>
        <w:tc>
          <w:tcPr>
            <w:tcW w:w="1220" w:type="dxa"/>
            <w:tcBorders>
              <w:bottom w:val="single" w:sz="4" w:space="0" w:color="000000"/>
              <w:right w:val="single" w:sz="4" w:space="0" w:color="000000"/>
            </w:tcBorders>
            <w:shd w:color="auto" w:fill="auto" w:val="clear"/>
            <w:vAlign w:val="center"/>
          </w:tcPr>
          <w:p>
            <w:pPr>
              <w:pStyle w:val="Normal"/>
              <w:widowControl w:val="false"/>
              <w:spacing w:before="0" w:after="120"/>
              <w:jc w:val="center"/>
              <w:rPr>
                <w:rFonts w:ascii="Arial" w:hAnsi="Arial" w:cs="Arial"/>
                <w:color w:val="000000"/>
                <w:sz w:val="24"/>
                <w:szCs w:val="24"/>
              </w:rPr>
            </w:pPr>
            <w:r>
              <w:rPr>
                <w:rFonts w:cs="Arial" w:ascii="Arial" w:hAnsi="Arial"/>
                <w:color w:val="000000"/>
                <w:sz w:val="24"/>
                <w:szCs w:val="24"/>
              </w:rPr>
              <w:t>10</w:t>
            </w:r>
          </w:p>
        </w:tc>
      </w:tr>
    </w:tbl>
    <w:p>
      <w:pPr>
        <w:pStyle w:val="Normal"/>
        <w:spacing w:lineRule="auto" w:line="240"/>
        <w:ind w:left="360" w:hanging="0"/>
        <w:jc w:val="both"/>
        <w:rPr>
          <w:rFonts w:ascii="Arial" w:hAnsi="Arial" w:cs="Arial"/>
          <w:bCs/>
          <w:sz w:val="24"/>
          <w:szCs w:val="24"/>
        </w:rPr>
      </w:pPr>
      <w:r>
        <w:rPr>
          <w:rFonts w:cs="Arial" w:ascii="Arial" w:hAnsi="Arial"/>
          <w:bCs/>
          <w:sz w:val="24"/>
          <w:szCs w:val="24"/>
        </w:rPr>
      </w:r>
    </w:p>
    <w:p>
      <w:pPr>
        <w:pStyle w:val="Heading2"/>
        <w:tabs>
          <w:tab w:val="clear" w:pos="708"/>
          <w:tab w:val="left" w:pos="0" w:leader="none"/>
        </w:tabs>
        <w:jc w:val="both"/>
        <w:rPr>
          <w:rFonts w:ascii="Arial" w:hAnsi="Arial" w:cs="Arial"/>
          <w:b/>
          <w:b/>
          <w:bCs/>
          <w:sz w:val="24"/>
          <w:szCs w:val="24"/>
        </w:rPr>
      </w:pPr>
      <w:bookmarkStart w:id="21" w:name="_Toc193471061"/>
      <w:r>
        <w:rPr>
          <w:rFonts w:cs="Arial" w:ascii="Arial" w:hAnsi="Arial"/>
          <w:b/>
          <w:bCs/>
          <w:sz w:val="24"/>
          <w:szCs w:val="24"/>
        </w:rPr>
        <w:t>4.3.2 Activitatea comercială</w:t>
      </w:r>
      <w:bookmarkEnd w:id="21"/>
    </w:p>
    <w:p>
      <w:pPr>
        <w:pStyle w:val="Normal"/>
        <w:jc w:val="both"/>
        <w:rPr>
          <w:rFonts w:ascii="Arial" w:hAnsi="Arial" w:cs="Arial"/>
          <w:sz w:val="24"/>
          <w:szCs w:val="24"/>
        </w:rPr>
      </w:pPr>
      <w:r>
        <w:rPr>
          <w:rFonts w:cs="Arial" w:ascii="Arial" w:hAnsi="Arial"/>
          <w:sz w:val="24"/>
          <w:szCs w:val="24"/>
        </w:rPr>
        <w:t xml:space="preserve">Societatea TRANSPORT PUBLIC S.A. are deschise 3 puncte de lucru, situate în zone cheie din municipiul Tulcea, unde se comercializează titluri de călătorie şi abonamente pentru transportul auto şi naval, emise pe suport de hârtie, precum şi abonamente pe suport electronic, cu ajutorul programului de ticheting.  </w:t>
      </w:r>
    </w:p>
    <w:p>
      <w:pPr>
        <w:pStyle w:val="Normal"/>
        <w:jc w:val="both"/>
        <w:rPr>
          <w:rFonts w:ascii="Arial" w:hAnsi="Arial" w:cs="Arial"/>
          <w:bCs/>
          <w:sz w:val="24"/>
          <w:szCs w:val="24"/>
        </w:rPr>
      </w:pPr>
      <w:r>
        <w:rPr>
          <w:rFonts w:cs="Arial" w:ascii="Arial" w:hAnsi="Arial"/>
          <w:bCs/>
          <w:sz w:val="24"/>
          <w:szCs w:val="24"/>
        </w:rPr>
        <w:t>Facturarea și încasarea se realizează cu ajutorul programelor informatice dedicate, asigurând inclusiv transmiterea prin sistemul RO E-factura, pentru conformarea cu legislația fiscală în vigoare.</w:t>
      </w:r>
    </w:p>
    <w:p>
      <w:pPr>
        <w:pStyle w:val="Normal"/>
        <w:jc w:val="both"/>
        <w:rPr>
          <w:rFonts w:ascii="Arial" w:hAnsi="Arial" w:cs="Arial"/>
          <w:bCs/>
          <w:sz w:val="24"/>
          <w:szCs w:val="24"/>
        </w:rPr>
      </w:pPr>
      <w:r>
        <w:rPr>
          <w:rFonts w:cs="Arial" w:ascii="Arial" w:hAnsi="Arial"/>
          <w:bCs/>
          <w:sz w:val="24"/>
          <w:szCs w:val="24"/>
        </w:rPr>
        <w:t>Începând cu anul 2023 societatea a modernizat sistemul de ticheting prin introducerea biletelor de autobuz cu cod QR, ocazie cu care a fost pusă la dispoziția călătorilor opțiunea de a achiziționa titluri de călătorie cu card bancar, prin intermediul unei aplicații pentru telefon mobil, având atașat un portofel electronic destinat transportului public.</w:t>
      </w:r>
    </w:p>
    <w:p>
      <w:pPr>
        <w:pStyle w:val="Normal"/>
        <w:jc w:val="both"/>
        <w:rPr>
          <w:rFonts w:ascii="Arial" w:hAnsi="Arial" w:cs="Arial"/>
          <w:bCs/>
          <w:sz w:val="24"/>
          <w:szCs w:val="24"/>
        </w:rPr>
      </w:pPr>
      <w:r>
        <w:rPr>
          <w:rFonts w:cs="Arial" w:ascii="Arial" w:hAnsi="Arial"/>
          <w:bCs/>
          <w:sz w:val="24"/>
          <w:szCs w:val="24"/>
        </w:rPr>
        <w:t>În anul 2024, din luna mai, a fost introdusă în uz și modalitatea de achiziție prin SMS a titlurilor de călătorie.</w:t>
      </w:r>
    </w:p>
    <w:p>
      <w:pPr>
        <w:pStyle w:val="Normal"/>
        <w:jc w:val="both"/>
        <w:rPr>
          <w:rFonts w:ascii="Arial" w:hAnsi="Arial" w:cs="Arial"/>
          <w:sz w:val="24"/>
          <w:szCs w:val="24"/>
        </w:rPr>
      </w:pPr>
      <w:r>
        <w:rPr>
          <w:rFonts w:cs="Arial" w:ascii="Arial" w:hAnsi="Arial"/>
          <w:sz w:val="24"/>
          <w:szCs w:val="24"/>
        </w:rPr>
        <w:t xml:space="preserve">În paralel, societatea realizează şi activităţi secundare care aduc venituri suplimentare, respectiv activităţi de închiriere spaţii pentru birouri şi productie, închiriere spaţii parcare, precum şi vânzare de publicitate şi reclamă. </w:t>
      </w:r>
    </w:p>
    <w:p>
      <w:pPr>
        <w:pStyle w:val="Normal"/>
        <w:jc w:val="both"/>
        <w:rPr>
          <w:rFonts w:ascii="Arial" w:hAnsi="Arial" w:cs="Arial"/>
          <w:bCs/>
          <w:sz w:val="24"/>
          <w:szCs w:val="24"/>
        </w:rPr>
      </w:pPr>
      <w:r>
        <w:rPr>
          <w:rFonts w:cs="Arial" w:ascii="Arial" w:hAnsi="Arial"/>
          <w:bCs/>
          <w:sz w:val="24"/>
          <w:szCs w:val="24"/>
        </w:rPr>
      </w:r>
    </w:p>
    <w:p>
      <w:pPr>
        <w:pStyle w:val="Heading2"/>
        <w:tabs>
          <w:tab w:val="clear" w:pos="708"/>
          <w:tab w:val="left" w:pos="0" w:leader="none"/>
        </w:tabs>
        <w:jc w:val="both"/>
        <w:rPr>
          <w:rFonts w:ascii="Arial" w:hAnsi="Arial" w:cs="Arial"/>
          <w:b/>
          <w:b/>
          <w:bCs/>
          <w:sz w:val="24"/>
          <w:szCs w:val="24"/>
        </w:rPr>
      </w:pPr>
      <w:bookmarkStart w:id="22" w:name="_Toc193471062"/>
      <w:r>
        <w:rPr>
          <w:rFonts w:cs="Arial" w:ascii="Arial" w:hAnsi="Arial"/>
          <w:b/>
          <w:bCs/>
          <w:sz w:val="24"/>
          <w:szCs w:val="24"/>
        </w:rPr>
        <w:t>4.3.3 Activitatea de achiziții</w:t>
      </w:r>
      <w:bookmarkEnd w:id="22"/>
    </w:p>
    <w:p>
      <w:pPr>
        <w:pStyle w:val="Normal"/>
        <w:jc w:val="both"/>
        <w:rPr>
          <w:rFonts w:ascii="Arial" w:hAnsi="Arial" w:cs="Arial"/>
          <w:bCs/>
          <w:sz w:val="24"/>
          <w:szCs w:val="24"/>
        </w:rPr>
      </w:pPr>
      <w:r>
        <w:rPr>
          <w:rFonts w:cs="Arial" w:ascii="Arial" w:hAnsi="Arial"/>
          <w:bCs/>
          <w:sz w:val="24"/>
          <w:szCs w:val="24"/>
        </w:rPr>
        <w:t>Procesul de achiziție se realizează în conformitate cu prevederile legislației în domeniul achizițiilor publice, respectiv Legea nr. 99/2016 cu modificările și completările ulterioare, și H.G. nr. 394/2016 cu modificările și completările ulterioare.</w:t>
      </w:r>
    </w:p>
    <w:p>
      <w:pPr>
        <w:pStyle w:val="Normal"/>
        <w:jc w:val="both"/>
        <w:rPr>
          <w:rFonts w:ascii="Arial" w:hAnsi="Arial" w:cs="Arial"/>
          <w:bCs/>
          <w:sz w:val="24"/>
          <w:szCs w:val="24"/>
        </w:rPr>
      </w:pPr>
      <w:r>
        <w:rPr>
          <w:rFonts w:cs="Arial" w:ascii="Arial" w:hAnsi="Arial"/>
          <w:bCs/>
          <w:sz w:val="24"/>
          <w:szCs w:val="24"/>
        </w:rPr>
        <w:t>Procesul de planificare a achizițiilor publice se realizează prin respectarea principiilor prevăzute la art 2 alin (2) din Legea nr. 99/2016 privind achizițiile sectoriale, cu modificările și completările ulterioare, respectiv nediscriminarea, tratamentul egal, transparența și proporționalitatea.</w:t>
      </w:r>
    </w:p>
    <w:p>
      <w:pPr>
        <w:pStyle w:val="Normal"/>
        <w:jc w:val="both"/>
        <w:rPr>
          <w:rFonts w:ascii="Arial" w:hAnsi="Arial" w:cs="Arial"/>
          <w:bCs/>
          <w:sz w:val="24"/>
          <w:szCs w:val="24"/>
        </w:rPr>
      </w:pPr>
      <w:r>
        <w:rPr>
          <w:rFonts w:cs="Arial" w:ascii="Arial" w:hAnsi="Arial"/>
          <w:bCs/>
          <w:sz w:val="24"/>
          <w:szCs w:val="24"/>
        </w:rPr>
        <w:t>În vederea derulării unor proceduri competitive, pe parcursul întregului proces de determinare a valorilor estimate, se respectă următoarele principii:</w:t>
      </w:r>
    </w:p>
    <w:p>
      <w:pPr>
        <w:pStyle w:val="ListParagraph"/>
        <w:numPr>
          <w:ilvl w:val="0"/>
          <w:numId w:val="10"/>
        </w:numPr>
        <w:jc w:val="both"/>
        <w:rPr>
          <w:rFonts w:ascii="Arial" w:hAnsi="Arial" w:cs="Arial"/>
          <w:bCs/>
          <w:sz w:val="24"/>
          <w:szCs w:val="24"/>
        </w:rPr>
      </w:pPr>
      <w:r>
        <w:rPr>
          <w:rFonts w:cs="Arial" w:ascii="Arial" w:hAnsi="Arial"/>
          <w:bCs/>
          <w:sz w:val="24"/>
          <w:szCs w:val="24"/>
        </w:rPr>
        <w:t>Principiul economicității, care presupune minimizarea costului resurselor alocate pentru realizarea achizițiilor, evitarea imobilizării fondurilor financiare ale societății prin reducerea stocurilor, precum și încadrarea în sumele aprobate prin bugetul de venituri și cheltuieli,</w:t>
      </w:r>
    </w:p>
    <w:p>
      <w:pPr>
        <w:pStyle w:val="ListParagraph"/>
        <w:numPr>
          <w:ilvl w:val="0"/>
          <w:numId w:val="10"/>
        </w:numPr>
        <w:jc w:val="both"/>
        <w:rPr>
          <w:rFonts w:ascii="Arial" w:hAnsi="Arial" w:cs="Arial"/>
          <w:bCs/>
          <w:sz w:val="24"/>
          <w:szCs w:val="24"/>
        </w:rPr>
      </w:pPr>
      <w:r>
        <w:rPr>
          <w:rFonts w:cs="Arial" w:ascii="Arial" w:hAnsi="Arial"/>
          <w:bCs/>
          <w:sz w:val="24"/>
          <w:szCs w:val="24"/>
        </w:rPr>
        <w:t>Principiul eficienței, care presupune un raport optim între resursele alocate și rezultatele obținute,</w:t>
      </w:r>
    </w:p>
    <w:p>
      <w:pPr>
        <w:pStyle w:val="ListParagraph"/>
        <w:numPr>
          <w:ilvl w:val="0"/>
          <w:numId w:val="10"/>
        </w:numPr>
        <w:jc w:val="both"/>
        <w:rPr>
          <w:rFonts w:ascii="Arial" w:hAnsi="Arial" w:cs="Arial"/>
          <w:bCs/>
          <w:sz w:val="24"/>
          <w:szCs w:val="24"/>
        </w:rPr>
      </w:pPr>
      <w:r>
        <w:rPr>
          <w:rFonts w:cs="Arial" w:ascii="Arial" w:hAnsi="Arial"/>
          <w:bCs/>
          <w:sz w:val="24"/>
          <w:szCs w:val="24"/>
        </w:rPr>
        <w:t>Principiul eficacității, care vizează gradul de îndeplinire a obiectivelor specifice stabilite pentru fiecare activitate planificată, în vederea obținerii rezultatelor scontate.</w:t>
      </w:r>
    </w:p>
    <w:p>
      <w:pPr>
        <w:pStyle w:val="Normal"/>
        <w:jc w:val="both"/>
        <w:rPr>
          <w:rFonts w:ascii="Arial" w:hAnsi="Arial" w:cs="Arial"/>
          <w:bCs/>
          <w:sz w:val="24"/>
          <w:szCs w:val="24"/>
        </w:rPr>
      </w:pPr>
      <w:r>
        <w:rPr>
          <w:rFonts w:cs="Arial" w:ascii="Arial" w:hAnsi="Arial"/>
          <w:bCs/>
          <w:sz w:val="24"/>
          <w:szCs w:val="24"/>
        </w:rPr>
        <w:t>Activitatea de achiziții publice presupune: solicitarea referatelor de necesitate, centralizarea acestora, cercetarea și analiza pieței în vederea estimării valorilor, solicitarea caietelor de sarcini/specificații tehnice și transmiterea cererilor de ofertă. Dupa ce acceptarea ofertei are loc, se încheie contractele de achiziții, ulterior, monitorizându-se permanent derularea proceselor de achiziții, pentru asigurarea continuității în aprovizionare.</w:t>
      </w:r>
    </w:p>
    <w:p>
      <w:pPr>
        <w:pStyle w:val="Normal"/>
        <w:jc w:val="both"/>
        <w:rPr>
          <w:rFonts w:ascii="Arial" w:hAnsi="Arial" w:cs="Arial"/>
          <w:bCs/>
          <w:sz w:val="24"/>
          <w:szCs w:val="24"/>
        </w:rPr>
      </w:pPr>
      <w:r>
        <w:rPr>
          <w:rFonts w:cs="Arial" w:ascii="Arial" w:hAnsi="Arial"/>
          <w:bCs/>
          <w:sz w:val="24"/>
          <w:szCs w:val="24"/>
        </w:rPr>
      </w:r>
    </w:p>
    <w:p>
      <w:pPr>
        <w:pStyle w:val="Heading2"/>
        <w:tabs>
          <w:tab w:val="clear" w:pos="708"/>
          <w:tab w:val="left" w:pos="0" w:leader="none"/>
        </w:tabs>
        <w:jc w:val="both"/>
        <w:rPr>
          <w:rFonts w:ascii="Arial" w:hAnsi="Arial" w:cs="Arial"/>
          <w:b/>
          <w:b/>
          <w:bCs/>
          <w:sz w:val="24"/>
          <w:szCs w:val="24"/>
        </w:rPr>
      </w:pPr>
      <w:bookmarkStart w:id="23" w:name="_Toc193471063"/>
      <w:r>
        <w:rPr>
          <w:rFonts w:cs="Arial" w:ascii="Arial" w:hAnsi="Arial"/>
          <w:b/>
          <w:bCs/>
          <w:sz w:val="24"/>
          <w:szCs w:val="24"/>
        </w:rPr>
        <w:t>4.3.4 Aspecte legate de resursele umane</w:t>
      </w:r>
      <w:bookmarkEnd w:id="23"/>
    </w:p>
    <w:p>
      <w:pPr>
        <w:pStyle w:val="Normal"/>
        <w:jc w:val="both"/>
        <w:rPr>
          <w:rFonts w:ascii="Arial" w:hAnsi="Arial" w:cs="Arial"/>
          <w:bCs/>
          <w:sz w:val="24"/>
          <w:szCs w:val="24"/>
        </w:rPr>
      </w:pPr>
      <w:r>
        <w:rPr>
          <w:rFonts w:cs="Arial" w:ascii="Arial" w:hAnsi="Arial"/>
          <w:bCs/>
          <w:sz w:val="24"/>
          <w:szCs w:val="24"/>
        </w:rPr>
        <w:t>Strategia societății TRANSPORT PUBLIC S.A. în domeniul resurselor umane se axează pe dezvoltarea unui sistem eficient și eficace de management al resurselor umane și asigurarea unor măsuri, metode, proceduri și activități în domeniul resurselor umane, care să se integreze și să răspundă sarcinilor ce revin Societății.</w:t>
      </w:r>
    </w:p>
    <w:p>
      <w:pPr>
        <w:pStyle w:val="Normal"/>
        <w:jc w:val="both"/>
        <w:rPr>
          <w:rFonts w:ascii="Arial" w:hAnsi="Arial" w:cs="Arial"/>
          <w:bCs/>
          <w:sz w:val="24"/>
          <w:szCs w:val="24"/>
        </w:rPr>
      </w:pPr>
      <w:r>
        <w:rPr>
          <w:rFonts w:cs="Arial" w:ascii="Arial" w:hAnsi="Arial"/>
          <w:bCs/>
          <w:sz w:val="24"/>
          <w:szCs w:val="24"/>
        </w:rPr>
        <w:t>Obiectivele generale ale activității de resurse umane urmăresc, ca și direcții:</w:t>
      </w:r>
    </w:p>
    <w:p>
      <w:pPr>
        <w:pStyle w:val="ListParagraph"/>
        <w:numPr>
          <w:ilvl w:val="0"/>
          <w:numId w:val="11"/>
        </w:numPr>
        <w:jc w:val="both"/>
        <w:rPr>
          <w:rFonts w:ascii="Arial" w:hAnsi="Arial" w:cs="Arial"/>
          <w:bCs/>
          <w:sz w:val="24"/>
          <w:szCs w:val="24"/>
        </w:rPr>
      </w:pPr>
      <w:r>
        <w:rPr>
          <w:rFonts w:cs="Arial" w:ascii="Arial" w:hAnsi="Arial"/>
          <w:bCs/>
          <w:sz w:val="24"/>
          <w:szCs w:val="24"/>
        </w:rPr>
        <w:t>Asigurarea necesarului de personal, pe criterii de competență, aptitudini, abilități și experiență profesională,</w:t>
      </w:r>
    </w:p>
    <w:p>
      <w:pPr>
        <w:pStyle w:val="ListParagraph"/>
        <w:numPr>
          <w:ilvl w:val="0"/>
          <w:numId w:val="11"/>
        </w:numPr>
        <w:jc w:val="both"/>
        <w:rPr>
          <w:rFonts w:ascii="Arial" w:hAnsi="Arial" w:cs="Arial"/>
          <w:bCs/>
          <w:sz w:val="24"/>
          <w:szCs w:val="24"/>
        </w:rPr>
      </w:pPr>
      <w:r>
        <w:rPr>
          <w:rFonts w:cs="Arial" w:ascii="Arial" w:hAnsi="Arial"/>
          <w:bCs/>
          <w:sz w:val="24"/>
          <w:szCs w:val="24"/>
        </w:rPr>
        <w:t>Asigurarea nivelului optim de remunerare,</w:t>
      </w:r>
    </w:p>
    <w:p>
      <w:pPr>
        <w:pStyle w:val="ListParagraph"/>
        <w:numPr>
          <w:ilvl w:val="0"/>
          <w:numId w:val="11"/>
        </w:numPr>
        <w:jc w:val="both"/>
        <w:rPr>
          <w:rFonts w:ascii="Arial" w:hAnsi="Arial" w:cs="Arial"/>
          <w:bCs/>
          <w:sz w:val="24"/>
          <w:szCs w:val="24"/>
        </w:rPr>
      </w:pPr>
      <w:r>
        <w:rPr>
          <w:rFonts w:cs="Arial" w:ascii="Arial" w:hAnsi="Arial"/>
          <w:bCs/>
          <w:sz w:val="24"/>
          <w:szCs w:val="24"/>
        </w:rPr>
        <w:t>Asigurarea formării și dezvoltării competențelor profesionale ale salariaților,</w:t>
      </w:r>
    </w:p>
    <w:p>
      <w:pPr>
        <w:pStyle w:val="ListParagraph"/>
        <w:numPr>
          <w:ilvl w:val="0"/>
          <w:numId w:val="11"/>
        </w:numPr>
        <w:jc w:val="both"/>
        <w:rPr>
          <w:rFonts w:ascii="Arial" w:hAnsi="Arial" w:cs="Arial"/>
          <w:bCs/>
          <w:sz w:val="24"/>
          <w:szCs w:val="24"/>
        </w:rPr>
      </w:pPr>
      <w:r>
        <w:rPr>
          <w:rFonts w:cs="Arial" w:ascii="Arial" w:hAnsi="Arial"/>
          <w:bCs/>
          <w:sz w:val="24"/>
          <w:szCs w:val="24"/>
        </w:rPr>
        <w:t>Asigurarea conformității în domeniul securității și sănătății în muncă și în domeniul de prevenire și stingere a incendiilor.</w:t>
      </w:r>
    </w:p>
    <w:p>
      <w:pPr>
        <w:pStyle w:val="Normal"/>
        <w:jc w:val="both"/>
        <w:rPr>
          <w:rFonts w:ascii="Arial" w:hAnsi="Arial" w:cs="Arial"/>
          <w:bCs/>
          <w:sz w:val="24"/>
          <w:szCs w:val="24"/>
        </w:rPr>
      </w:pPr>
      <w:r>
        <w:rPr>
          <w:rFonts w:cs="Arial" w:ascii="Arial" w:hAnsi="Arial"/>
          <w:bCs/>
          <w:sz w:val="24"/>
          <w:szCs w:val="24"/>
        </w:rPr>
        <w:t>În prezent, activitatea de susținere în stare de funcționare a sistemului public de transport din municipiul Tulcea are loc într-un context macroeconomic dificil, care se confruntă cu un deficit de forță de muncă specializată și calificată pe piața muncii, pe de o parte, precum și cu un decalaj major în privința ofertei de salarizare față de ceilalți angajatori, pe de altă parte.</w:t>
      </w:r>
    </w:p>
    <w:p>
      <w:pPr>
        <w:pStyle w:val="Normal"/>
        <w:jc w:val="both"/>
        <w:rPr>
          <w:rFonts w:ascii="Arial" w:hAnsi="Arial" w:eastAsia="Calibri" w:cs="Arial"/>
          <w:sz w:val="24"/>
          <w:szCs w:val="24"/>
        </w:rPr>
      </w:pPr>
      <w:r>
        <w:rPr>
          <w:rFonts w:eastAsia="Calibri" w:cs="Arial" w:ascii="Arial" w:hAnsi="Arial"/>
          <w:sz w:val="24"/>
          <w:szCs w:val="24"/>
        </w:rPr>
        <w:t xml:space="preserve">Numărul mediu de salariaţi în anul 2024 a fost de 97,82 angajaţi, iar productivitatea muncii a fost de 187,74 mii lei/persoană, faţă de 187,01 mii lei/persoană, așa cum era prevăzut iniţial, realizându-se o depășire cu 0,39% faţă de previziunile inițiale. </w:t>
      </w:r>
    </w:p>
    <w:p>
      <w:pPr>
        <w:pStyle w:val="Normal"/>
        <w:spacing w:lineRule="auto" w:line="240"/>
        <w:ind w:left="360" w:hanging="0"/>
        <w:jc w:val="both"/>
        <w:rPr>
          <w:rFonts w:ascii="Arial" w:hAnsi="Arial" w:cs="Arial"/>
          <w:bCs/>
          <w:sz w:val="24"/>
          <w:szCs w:val="24"/>
        </w:rPr>
      </w:pPr>
      <w:r>
        <w:rPr>
          <w:rFonts w:cs="Arial" w:ascii="Arial" w:hAnsi="Arial"/>
          <w:bCs/>
          <w:sz w:val="24"/>
          <w:szCs w:val="24"/>
        </w:rPr>
      </w:r>
    </w:p>
    <w:p>
      <w:pPr>
        <w:pStyle w:val="Heading2"/>
        <w:tabs>
          <w:tab w:val="clear" w:pos="708"/>
          <w:tab w:val="left" w:pos="0" w:leader="none"/>
        </w:tabs>
        <w:jc w:val="both"/>
        <w:rPr>
          <w:rFonts w:ascii="Arial" w:hAnsi="Arial" w:cs="Arial"/>
          <w:b/>
          <w:b/>
          <w:bCs/>
          <w:sz w:val="24"/>
          <w:szCs w:val="24"/>
        </w:rPr>
      </w:pPr>
      <w:bookmarkStart w:id="24" w:name="_Toc193471064"/>
      <w:r>
        <w:rPr>
          <w:rFonts w:cs="Arial" w:ascii="Arial" w:hAnsi="Arial"/>
          <w:b/>
          <w:bCs/>
          <w:sz w:val="24"/>
          <w:szCs w:val="24"/>
        </w:rPr>
        <w:t>4.3.5 Activitatea juridică, litigii</w:t>
      </w:r>
      <w:bookmarkEnd w:id="24"/>
    </w:p>
    <w:p>
      <w:pPr>
        <w:pStyle w:val="Normal"/>
        <w:jc w:val="both"/>
        <w:rPr>
          <w:rFonts w:ascii="Arial" w:hAnsi="Arial" w:cs="Arial"/>
          <w:bCs/>
          <w:sz w:val="24"/>
          <w:szCs w:val="24"/>
        </w:rPr>
      </w:pPr>
      <w:r>
        <w:rPr>
          <w:rFonts w:cs="Arial" w:ascii="Arial" w:hAnsi="Arial"/>
          <w:bCs/>
          <w:sz w:val="24"/>
          <w:szCs w:val="24"/>
        </w:rPr>
        <w:t>Activitatea juridică a Societății este foarte complexă, acțiunile desfășurate de societate fiind canalizate, în principal, pe următoarele direcții:</w:t>
      </w:r>
    </w:p>
    <w:p>
      <w:pPr>
        <w:pStyle w:val="ListParagraph"/>
        <w:numPr>
          <w:ilvl w:val="0"/>
          <w:numId w:val="18"/>
        </w:numPr>
        <w:ind w:left="360" w:hanging="360"/>
        <w:jc w:val="both"/>
        <w:rPr>
          <w:rFonts w:ascii="Arial" w:hAnsi="Arial" w:cs="Arial"/>
          <w:bCs/>
          <w:sz w:val="24"/>
          <w:szCs w:val="24"/>
        </w:rPr>
      </w:pPr>
      <w:r>
        <w:rPr>
          <w:rFonts w:cs="Arial" w:ascii="Arial" w:hAnsi="Arial"/>
          <w:bCs/>
          <w:sz w:val="24"/>
          <w:szCs w:val="24"/>
        </w:rPr>
        <w:t>analizarea modificărilor legislative și implementarea prevederilor legale în activitatea societății;</w:t>
      </w:r>
    </w:p>
    <w:p>
      <w:pPr>
        <w:pStyle w:val="ListParagraph"/>
        <w:numPr>
          <w:ilvl w:val="0"/>
          <w:numId w:val="18"/>
        </w:numPr>
        <w:ind w:left="360" w:hanging="360"/>
        <w:jc w:val="both"/>
        <w:rPr>
          <w:rFonts w:ascii="Arial" w:hAnsi="Arial" w:cs="Arial"/>
          <w:bCs/>
          <w:sz w:val="24"/>
          <w:szCs w:val="24"/>
        </w:rPr>
      </w:pPr>
      <w:r>
        <w:rPr>
          <w:rFonts w:cs="Arial" w:ascii="Arial" w:hAnsi="Arial"/>
          <w:bCs/>
          <w:sz w:val="24"/>
          <w:szCs w:val="24"/>
        </w:rPr>
        <w:t>actualizarea contractului colectiv de muncă și a regulamentelor interne, conform legislației aplicabile;</w:t>
      </w:r>
    </w:p>
    <w:p>
      <w:pPr>
        <w:pStyle w:val="ListParagraph"/>
        <w:numPr>
          <w:ilvl w:val="0"/>
          <w:numId w:val="18"/>
        </w:numPr>
        <w:ind w:left="360" w:hanging="360"/>
        <w:jc w:val="both"/>
        <w:rPr>
          <w:rFonts w:ascii="Arial" w:hAnsi="Arial" w:cs="Arial"/>
          <w:bCs/>
          <w:sz w:val="24"/>
          <w:szCs w:val="24"/>
        </w:rPr>
      </w:pPr>
      <w:r>
        <w:rPr>
          <w:rFonts w:cs="Arial" w:ascii="Arial" w:hAnsi="Arial"/>
          <w:bCs/>
          <w:sz w:val="24"/>
          <w:szCs w:val="24"/>
        </w:rPr>
        <w:t>colectarea și raportarea informațiilor solicitate de organele administrației publice sau de diverși terți, privind strategia națională anticorupție, etică, informații de interes public, etc</w:t>
      </w:r>
    </w:p>
    <w:p>
      <w:pPr>
        <w:pStyle w:val="ListParagraph"/>
        <w:numPr>
          <w:ilvl w:val="0"/>
          <w:numId w:val="18"/>
        </w:numPr>
        <w:ind w:left="360" w:hanging="360"/>
        <w:jc w:val="both"/>
        <w:rPr>
          <w:rFonts w:ascii="Arial" w:hAnsi="Arial" w:cs="Arial"/>
          <w:bCs/>
          <w:sz w:val="24"/>
          <w:szCs w:val="24"/>
        </w:rPr>
      </w:pPr>
      <w:r>
        <w:rPr>
          <w:rFonts w:cs="Arial" w:ascii="Arial" w:hAnsi="Arial"/>
          <w:bCs/>
          <w:sz w:val="24"/>
          <w:szCs w:val="24"/>
        </w:rPr>
        <w:t>gestionarea litigiilor juridice ale societății, repezentând acțiuni de recuperare creanțe, litigii de muncă, contestații etc. din care aproximativ 70% au o vechime mai mare de 2-3 ani, urmând a fi soluționate de instanțele de judecată.</w:t>
      </w:r>
    </w:p>
    <w:p>
      <w:pPr>
        <w:pStyle w:val="Normal"/>
        <w:ind w:left="360" w:hanging="0"/>
        <w:jc w:val="both"/>
        <w:rPr>
          <w:rFonts w:ascii="Arial" w:hAnsi="Arial" w:cs="Arial"/>
          <w:sz w:val="24"/>
          <w:szCs w:val="24"/>
        </w:rPr>
      </w:pPr>
      <w:r>
        <w:rPr>
          <w:rFonts w:cs="Arial" w:ascii="Arial" w:hAnsi="Arial"/>
          <w:sz w:val="24"/>
          <w:szCs w:val="24"/>
        </w:rPr>
      </w:r>
    </w:p>
    <w:p>
      <w:pPr>
        <w:pStyle w:val="Heading1"/>
        <w:numPr>
          <w:ilvl w:val="0"/>
          <w:numId w:val="26"/>
        </w:numPr>
        <w:ind w:left="0" w:hanging="0"/>
        <w:jc w:val="both"/>
        <w:rPr>
          <w:rFonts w:ascii="Arial" w:hAnsi="Arial" w:cs="Arial"/>
          <w:b/>
          <w:b/>
          <w:bCs/>
          <w:color w:val="auto"/>
        </w:rPr>
      </w:pPr>
      <w:bookmarkStart w:id="25" w:name="_Toc193471065"/>
      <w:r>
        <w:rPr>
          <w:rFonts w:cs="Arial" w:ascii="Arial" w:hAnsi="Arial"/>
          <w:b/>
          <w:bCs/>
          <w:color w:val="auto"/>
        </w:rPr>
        <w:t>Viziunea, misiunea și obiectivele strategice ale ENTEL S.A.</w:t>
      </w:r>
      <w:bookmarkEnd w:id="25"/>
    </w:p>
    <w:p>
      <w:pPr>
        <w:pStyle w:val="Normal"/>
        <w:jc w:val="both"/>
        <w:rPr>
          <w:rFonts w:ascii="Arial" w:hAnsi="Arial" w:cs="Arial"/>
          <w:sz w:val="24"/>
          <w:szCs w:val="24"/>
          <w:highlight w:val="yellow"/>
        </w:rPr>
      </w:pPr>
      <w:r>
        <w:rPr>
          <w:rFonts w:cs="Arial" w:ascii="Arial" w:hAnsi="Arial"/>
          <w:sz w:val="24"/>
          <w:szCs w:val="24"/>
          <w:highlight w:val="yellow"/>
        </w:rPr>
      </w:r>
    </w:p>
    <w:p>
      <w:pPr>
        <w:pStyle w:val="Heading2"/>
        <w:tabs>
          <w:tab w:val="clear" w:pos="708"/>
          <w:tab w:val="left" w:pos="0" w:leader="none"/>
        </w:tabs>
        <w:ind w:left="450" w:hanging="450"/>
        <w:jc w:val="both"/>
        <w:rPr>
          <w:rFonts w:ascii="Arial" w:hAnsi="Arial" w:cs="Arial"/>
          <w:b/>
          <w:b/>
          <w:bCs/>
        </w:rPr>
      </w:pPr>
      <w:bookmarkStart w:id="26" w:name="_Toc193471066"/>
      <w:r>
        <w:rPr>
          <w:rFonts w:cs="Arial" w:ascii="Arial" w:hAnsi="Arial"/>
          <w:b/>
          <w:bCs/>
        </w:rPr>
        <w:t>5.1 Viziunea autorității publice tutelare și a acționarilor, misiunea și obiectivele societății ENTEL S.A., derivate din politica guvernamentală</w:t>
      </w:r>
      <w:bookmarkEnd w:id="26"/>
      <w:r>
        <w:rPr>
          <w:rFonts w:cs="Arial" w:ascii="Arial" w:hAnsi="Arial"/>
          <w:b/>
          <w:bCs/>
        </w:rPr>
        <w:t xml:space="preserve"> </w:t>
      </w:r>
    </w:p>
    <w:p>
      <w:pPr>
        <w:pStyle w:val="Normal"/>
        <w:jc w:val="both"/>
        <w:rPr>
          <w:rFonts w:ascii="Arial" w:hAnsi="Arial" w:cs="Arial"/>
          <w:bCs/>
          <w:iCs/>
          <w:sz w:val="24"/>
          <w:szCs w:val="24"/>
        </w:rPr>
      </w:pPr>
      <w:r>
        <w:rPr>
          <w:rFonts w:cs="Arial" w:ascii="Arial" w:hAnsi="Arial"/>
          <w:bCs/>
          <w:iCs/>
          <w:sz w:val="24"/>
          <w:szCs w:val="24"/>
        </w:rPr>
      </w:r>
    </w:p>
    <w:p>
      <w:pPr>
        <w:pStyle w:val="Normal"/>
        <w:jc w:val="both"/>
        <w:rPr>
          <w:rFonts w:ascii="Arial" w:hAnsi="Arial" w:cs="Arial"/>
          <w:bCs/>
          <w:iCs/>
          <w:sz w:val="24"/>
          <w:szCs w:val="24"/>
        </w:rPr>
      </w:pPr>
      <w:r>
        <w:rPr>
          <w:rFonts w:cs="Arial" w:ascii="Arial" w:hAnsi="Arial"/>
          <w:bCs/>
          <w:iCs/>
          <w:sz w:val="24"/>
          <w:szCs w:val="24"/>
        </w:rPr>
        <w:t>Autoritatea publică tutelară, Consiliul Local al Municipiului Tulcea ca autoritate deliberativă si U.A.T. Municipiul Tulcea, în calitate de acționar majoritar al societății, se așteaptă ca managementul societății TRANSPORT PUBLIC S.A. să fie orientat spre dezvoltarea afacerii în condiții de eficiență economică, să urmărească permanent stabilirea unui echilibru între calitatea serviciilor realizate, protecția mediului, securitatea și sănătatea lucrătorilor, orientată către cetățean în vederea creșterii nivelului de viață al populației locale.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Cs/>
          <w:i/>
          <w:i/>
          <w:iCs/>
          <w:sz w:val="26"/>
          <w:szCs w:val="26"/>
        </w:rPr>
      </w:pPr>
      <w:r>
        <w:rPr>
          <w:rFonts w:eastAsia="" w:cs="Arial" w:ascii="Arial" w:hAnsi="Arial" w:eastAsiaTheme="majorEastAsia"/>
          <w:b/>
          <w:bCs/>
          <w:color w:val="2F5496" w:themeColor="accent1" w:themeShade="bf"/>
          <w:sz w:val="26"/>
          <w:szCs w:val="26"/>
        </w:rPr>
        <w:t>5.2 Misiunea societății</w:t>
      </w:r>
      <w:r>
        <w:rPr>
          <w:rFonts w:cs="Arial" w:ascii="Arial" w:hAnsi="Arial"/>
          <w:bCs/>
          <w:i/>
          <w:iCs/>
          <w:sz w:val="26"/>
          <w:szCs w:val="26"/>
        </w:rPr>
        <w:t xml:space="preserve"> </w:t>
      </w:r>
    </w:p>
    <w:p>
      <w:pPr>
        <w:pStyle w:val="Normal"/>
        <w:jc w:val="both"/>
        <w:rPr>
          <w:rFonts w:ascii="Arial" w:hAnsi="Arial" w:cs="Arial"/>
          <w:bCs/>
          <w:iCs/>
          <w:sz w:val="24"/>
          <w:szCs w:val="24"/>
        </w:rPr>
      </w:pPr>
      <w:r>
        <w:rPr>
          <w:rFonts w:cs="Arial" w:ascii="Arial" w:hAnsi="Arial"/>
          <w:bCs/>
          <w:iCs/>
          <w:sz w:val="24"/>
          <w:szCs w:val="24"/>
        </w:rPr>
      </w:r>
    </w:p>
    <w:p>
      <w:pPr>
        <w:pStyle w:val="Normal"/>
        <w:jc w:val="both"/>
        <w:rPr>
          <w:rFonts w:ascii="Arial" w:hAnsi="Arial" w:cs="Arial"/>
          <w:bCs/>
          <w:iCs/>
          <w:sz w:val="24"/>
          <w:szCs w:val="24"/>
        </w:rPr>
      </w:pPr>
      <w:r>
        <w:rPr>
          <w:rFonts w:cs="Arial" w:ascii="Arial" w:hAnsi="Arial"/>
          <w:bCs/>
          <w:iCs/>
          <w:sz w:val="24"/>
          <w:szCs w:val="24"/>
        </w:rPr>
        <w:t>Misiunea societății este cea de asigurare a serviciului public de transport din Municipiul Tulcea în condiții de siguranță, eficiență economică, grijă față de consumatori și mediul înconjurator, prin asigurarea realizării obiectului principal de activitate în condiții de legalitate și calitate.</w:t>
      </w:r>
    </w:p>
    <w:p>
      <w:pPr>
        <w:pStyle w:val="Normal"/>
        <w:jc w:val="both"/>
        <w:rPr>
          <w:rFonts w:ascii="Arial" w:hAnsi="Arial" w:cs="Arial"/>
          <w:bCs/>
          <w:iCs/>
          <w:sz w:val="24"/>
          <w:szCs w:val="24"/>
        </w:rPr>
      </w:pPr>
      <w:r>
        <w:rPr>
          <w:rFonts w:cs="Arial" w:ascii="Arial" w:hAnsi="Arial"/>
          <w:bCs/>
          <w:iCs/>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5.3 Obiectivele strategice</w:t>
      </w:r>
    </w:p>
    <w:p>
      <w:pPr>
        <w:pStyle w:val="BodyText1"/>
        <w:spacing w:lineRule="auto" w:line="276"/>
        <w:ind w:hanging="0"/>
        <w:jc w:val="both"/>
        <w:rPr>
          <w:rStyle w:val="Bodytext"/>
          <w:rFonts w:ascii="Arial" w:hAnsi="Arial" w:eastAsia="Courier New" w:cs="Arial"/>
          <w:color w:val="auto"/>
        </w:rPr>
      </w:pPr>
      <w:r>
        <w:rPr>
          <w:rFonts w:eastAsia="Courier New" w:cs="Arial" w:ascii="Arial" w:hAnsi="Arial"/>
          <w:color w:val="auto"/>
        </w:rPr>
      </w:r>
    </w:p>
    <w:p>
      <w:pPr>
        <w:pStyle w:val="BodyText1"/>
        <w:spacing w:lineRule="auto" w:line="276" w:before="0" w:after="120"/>
        <w:ind w:hanging="0"/>
        <w:jc w:val="both"/>
        <w:rPr>
          <w:rStyle w:val="Bodytext"/>
          <w:rFonts w:ascii="Arial" w:hAnsi="Arial" w:eastAsia="Courier New" w:cs="Arial"/>
          <w:color w:val="auto"/>
        </w:rPr>
      </w:pPr>
      <w:r>
        <w:rPr>
          <w:rStyle w:val="Bodytext"/>
          <w:rFonts w:eastAsia="Courier New" w:cs="Arial" w:ascii="Arial" w:hAnsi="Arial"/>
          <w:color w:val="auto"/>
        </w:rPr>
        <w:t>Autoritatea publică tutelară asigură condițiile pentru punerea în practică a unei gestiuni eficiente, performante și durabile, orientată către rezultate, determinate de o evaluare periodică și publică a performanțelor operatorului de transport public.</w:t>
      </w:r>
    </w:p>
    <w:p>
      <w:pPr>
        <w:pStyle w:val="Normal"/>
        <w:jc w:val="both"/>
        <w:rPr>
          <w:rFonts w:ascii="Arial" w:hAnsi="Arial" w:cs="Arial"/>
          <w:sz w:val="24"/>
          <w:szCs w:val="24"/>
        </w:rPr>
      </w:pPr>
      <w:r>
        <w:rPr>
          <w:rStyle w:val="Bodytext"/>
          <w:rFonts w:eastAsia="Courier New" w:cs="Arial" w:ascii="Arial" w:hAnsi="Arial"/>
          <w:sz w:val="24"/>
          <w:szCs w:val="24"/>
        </w:rPr>
        <w:t>Odată cu reactualizarea legislației privind serviciile de utilități publice și după intrarea în vigoare a Legii nr. 92/2007 a serviciilor publice de transport persoane în unitățile administrativ-teritoriale, cu modificările și completările ulterioare, prestarea serviciului la nivelul Municipiului s-a realizat prin contracte de delegare a gestiunii, atribuite direct de autoritatea contractantă.</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Finanțarea cheltuielilor curente pentru prestarea serviciului de transport public se realizează pe criterii economice. Mijloacele materiale și financiare necesare desfășurării activității de transport public sunt asigurate prin bugetele de venituri și cheltuieli ale societății, precum și prin subvenții și compensații de la bugetul local, în conformitate cu prevederile legale în vigoare și ale contractului de delegare.</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În domeniul transportului public, autoritatea publică tutelară va urmări realizarea următoarelor obiective strategice:</w:t>
      </w:r>
    </w:p>
    <w:tbl>
      <w:tblPr>
        <w:tblStyle w:val="TableGrid"/>
        <w:tblW w:w="9558" w:type="dxa"/>
        <w:jc w:val="left"/>
        <w:tblInd w:w="0" w:type="dxa"/>
        <w:tblLayout w:type="fixed"/>
        <w:tblCellMar>
          <w:top w:w="0" w:type="dxa"/>
          <w:left w:w="108" w:type="dxa"/>
          <w:bottom w:w="0" w:type="dxa"/>
          <w:right w:w="108" w:type="dxa"/>
        </w:tblCellMar>
        <w:tblLook w:val="04a0"/>
      </w:tblPr>
      <w:tblGrid>
        <w:gridCol w:w="648"/>
        <w:gridCol w:w="2878"/>
        <w:gridCol w:w="3602"/>
        <w:gridCol w:w="2429"/>
      </w:tblGrid>
      <w:tr>
        <w:trPr/>
        <w:tc>
          <w:tcPr>
            <w:tcW w:w="648" w:type="dxa"/>
            <w:tcBorders/>
          </w:tcPr>
          <w:p>
            <w:pPr>
              <w:pStyle w:val="Normal"/>
              <w:widowControl w:val="false"/>
              <w:suppressAutoHyphens w:val="true"/>
              <w:spacing w:lineRule="auto" w:line="276" w:before="0" w:after="0"/>
              <w:jc w:val="center"/>
              <w:rPr>
                <w:rFonts w:ascii="Arial" w:hAnsi="Arial" w:cs="Arial"/>
                <w:b/>
                <w:b/>
                <w:bCs/>
                <w:sz w:val="24"/>
                <w:szCs w:val="24"/>
              </w:rPr>
            </w:pPr>
            <w:r>
              <w:rPr>
                <w:rFonts w:cs="Arial" w:ascii="Arial" w:hAnsi="Arial"/>
                <w:b/>
                <w:bCs/>
                <w:sz w:val="22"/>
                <w:szCs w:val="24"/>
              </w:rPr>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Nr. crt.</w:t>
            </w:r>
          </w:p>
        </w:tc>
        <w:tc>
          <w:tcPr>
            <w:tcW w:w="2878" w:type="dxa"/>
            <w:tcBorders/>
          </w:tcPr>
          <w:p>
            <w:pPr>
              <w:pStyle w:val="Normal"/>
              <w:widowControl w:val="false"/>
              <w:suppressAutoHyphens w:val="true"/>
              <w:spacing w:lineRule="auto" w:line="276" w:before="0" w:after="0"/>
              <w:jc w:val="center"/>
              <w:rPr>
                <w:rFonts w:ascii="Arial" w:hAnsi="Arial" w:cs="Arial"/>
                <w:b/>
                <w:b/>
                <w:bCs/>
                <w:sz w:val="24"/>
                <w:szCs w:val="24"/>
              </w:rPr>
            </w:pPr>
            <w:r>
              <w:rPr>
                <w:rFonts w:cs="Arial" w:ascii="Arial" w:hAnsi="Arial"/>
                <w:b/>
                <w:bCs/>
                <w:sz w:val="22"/>
                <w:szCs w:val="24"/>
              </w:rPr>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Obiectiv strategic</w:t>
            </w:r>
          </w:p>
        </w:tc>
        <w:tc>
          <w:tcPr>
            <w:tcW w:w="3602"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Obiectiv operational derivat din obiectivul strategic de atins în viitorul mandat</w:t>
            </w:r>
          </w:p>
        </w:tc>
        <w:tc>
          <w:tcPr>
            <w:tcW w:w="2429"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Indicatori  de performanță ce măsoară gradul de atingere al obiectivului</w:t>
            </w:r>
          </w:p>
        </w:tc>
      </w:tr>
      <w:tr>
        <w:trPr>
          <w:trHeight w:val="998" w:hRule="atLeast"/>
        </w:trPr>
        <w:tc>
          <w:tcPr>
            <w:tcW w:w="648" w:type="dxa"/>
            <w:vMerge w:val="restart"/>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1</w:t>
            </w:r>
          </w:p>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2878" w:type="dxa"/>
            <w:vMerge w:val="restart"/>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Asigurarea în următorii 4 ani a serviciului de transport public din municipiul Tulcea în condiții de eficiență energetică, eficacitate și respect al normelor de mediu</w:t>
            </w:r>
          </w:p>
        </w:tc>
        <w:tc>
          <w:tcPr>
            <w:tcW w:w="3602"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1. Realizarea programului de transport public</w:t>
            </w:r>
          </w:p>
        </w:tc>
        <w:tc>
          <w:tcPr>
            <w:tcW w:w="2429" w:type="dxa"/>
            <w:tcBorders/>
            <w:vAlign w:val="center"/>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Curse neefectuate din culpa operatorului</w:t>
            </w:r>
          </w:p>
        </w:tc>
      </w:tr>
      <w:tr>
        <w:trPr>
          <w:trHeight w:val="597"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2. Încadrarea în consumurile proprii de energie, prestabilite</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Consumul propriu de energie</w:t>
            </w:r>
          </w:p>
        </w:tc>
      </w:tr>
      <w:tr>
        <w:trPr>
          <w:trHeight w:val="881"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3.  Încadrarea în cantitatea de emisii prognozate, din domeniul de aplicare 1</w:t>
            </w:r>
          </w:p>
        </w:tc>
        <w:tc>
          <w:tcPr>
            <w:tcW w:w="2429" w:type="dxa"/>
            <w:tcBorders/>
            <w:vAlign w:val="center"/>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Emisiile de CO2 din domeniul de aplicare 1</w:t>
            </w:r>
          </w:p>
        </w:tc>
      </w:tr>
      <w:tr>
        <w:trPr>
          <w:trHeight w:val="1088"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 xml:space="preserve"> </w:t>
            </w:r>
            <w:r>
              <w:rPr>
                <w:rFonts w:eastAsia="Calibri" w:cs="Arial" w:ascii="Arial" w:hAnsi="Arial"/>
                <w:sz w:val="24"/>
                <w:szCs w:val="24"/>
                <w:lang w:val="ro-RO" w:eastAsia="en-US" w:bidi="ar-SA"/>
              </w:rPr>
              <w:t>4. Încadrarea în cantitatea de emisii prognozate, din domeniul de aplicare 2</w:t>
            </w:r>
          </w:p>
        </w:tc>
        <w:tc>
          <w:tcPr>
            <w:tcW w:w="2429" w:type="dxa"/>
            <w:tcBorders/>
            <w:vAlign w:val="center"/>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Emisiile de CO2 din domeniul de aplicare 2</w:t>
            </w:r>
          </w:p>
        </w:tc>
      </w:tr>
      <w:tr>
        <w:trPr>
          <w:trHeight w:val="530" w:hRule="atLeast"/>
        </w:trPr>
        <w:tc>
          <w:tcPr>
            <w:tcW w:w="648" w:type="dxa"/>
            <w:vMerge w:val="restart"/>
            <w:tcBorders/>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sz w:val="24"/>
                <w:szCs w:val="24"/>
                <w:lang w:val="ro-RO" w:eastAsia="en-US" w:bidi="ar-SA"/>
              </w:rPr>
              <w:t>2</w:t>
            </w:r>
          </w:p>
        </w:tc>
        <w:tc>
          <w:tcPr>
            <w:tcW w:w="2878" w:type="dxa"/>
            <w:vMerge w:val="restart"/>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Exploatarea judicioasă a mijloacelor fixe, în vederea încadrării în țintele de performanță comercială și economică, precum și în cele de satisfacție a consumatorilor finali</w:t>
            </w:r>
          </w:p>
        </w:tc>
        <w:tc>
          <w:tcPr>
            <w:tcW w:w="3602" w:type="dxa"/>
            <w:tcBorders/>
            <w:vAlign w:val="center"/>
          </w:tcPr>
          <w:p>
            <w:pPr>
              <w:pStyle w:val="ListParagraph"/>
              <w:widowControl w:val="false"/>
              <w:numPr>
                <w:ilvl w:val="1"/>
                <w:numId w:val="27"/>
              </w:numPr>
              <w:tabs>
                <w:tab w:val="clear" w:pos="708"/>
                <w:tab w:val="left" w:pos="-198" w:leader="none"/>
              </w:tabs>
              <w:suppressAutoHyphens w:val="true"/>
              <w:spacing w:lineRule="auto" w:line="240" w:before="0" w:after="0"/>
              <w:ind w:left="252" w:hanging="252"/>
              <w:contextualSpacing/>
              <w:jc w:val="both"/>
              <w:rPr>
                <w:rFonts w:ascii="Arial" w:hAnsi="Arial" w:cs="Arial"/>
                <w:sz w:val="24"/>
                <w:szCs w:val="24"/>
              </w:rPr>
            </w:pPr>
            <w:r>
              <w:rPr>
                <w:rFonts w:eastAsia="Calibri" w:cs="Arial" w:ascii="Arial" w:hAnsi="Arial"/>
                <w:sz w:val="24"/>
                <w:szCs w:val="24"/>
                <w:lang w:val="ro-RO" w:eastAsia="en-US" w:bidi="ar-SA"/>
              </w:rPr>
              <w:t>Creșterea cotei de piață</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Cota de piață</w:t>
            </w:r>
          </w:p>
        </w:tc>
      </w:tr>
      <w:tr>
        <w:trPr>
          <w:trHeight w:val="1007"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ListParagraph"/>
              <w:widowControl w:val="false"/>
              <w:numPr>
                <w:ilvl w:val="1"/>
                <w:numId w:val="28"/>
              </w:numPr>
              <w:tabs>
                <w:tab w:val="clear" w:pos="708"/>
                <w:tab w:val="left" w:pos="-198" w:leader="none"/>
              </w:tabs>
              <w:suppressAutoHyphens w:val="true"/>
              <w:spacing w:lineRule="auto" w:line="240" w:before="0" w:after="0"/>
              <w:ind w:left="252" w:hanging="252"/>
              <w:contextualSpacing/>
              <w:jc w:val="both"/>
              <w:rPr>
                <w:rFonts w:ascii="Arial" w:hAnsi="Arial" w:cs="Arial"/>
                <w:sz w:val="24"/>
                <w:szCs w:val="24"/>
              </w:rPr>
            </w:pPr>
            <w:r>
              <w:rPr>
                <w:rFonts w:eastAsia="Calibri" w:cs="Arial" w:ascii="Arial" w:hAnsi="Arial"/>
                <w:sz w:val="24"/>
                <w:szCs w:val="24"/>
                <w:lang w:val="ro-RO" w:eastAsia="en-US" w:bidi="ar-SA"/>
              </w:rPr>
              <w:t>Asigurarea unei rate superioare de retenție a clienților</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Rata de retenție a clienților în portofoliu</w:t>
            </w:r>
          </w:p>
        </w:tc>
      </w:tr>
      <w:tr>
        <w:trPr>
          <w:trHeight w:val="971"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ListParagraph"/>
              <w:widowControl w:val="false"/>
              <w:numPr>
                <w:ilvl w:val="1"/>
                <w:numId w:val="29"/>
              </w:numPr>
              <w:tabs>
                <w:tab w:val="clear" w:pos="708"/>
                <w:tab w:val="left" w:pos="-198" w:leader="none"/>
              </w:tabs>
              <w:suppressAutoHyphens w:val="true"/>
              <w:spacing w:lineRule="auto" w:line="240" w:before="0" w:after="0"/>
              <w:ind w:left="252" w:hanging="252"/>
              <w:contextualSpacing/>
              <w:jc w:val="both"/>
              <w:rPr>
                <w:rFonts w:ascii="Arial" w:hAnsi="Arial" w:cs="Arial"/>
                <w:sz w:val="24"/>
                <w:szCs w:val="24"/>
              </w:rPr>
            </w:pPr>
            <w:r>
              <w:rPr>
                <w:rFonts w:eastAsia="Calibri" w:cs="Arial" w:ascii="Arial" w:hAnsi="Arial"/>
                <w:sz w:val="24"/>
                <w:szCs w:val="24"/>
                <w:lang w:val="ro-RO" w:eastAsia="en-US" w:bidi="ar-SA"/>
              </w:rPr>
              <w:t>Atingerea nivelului anual prognozat de satisfacție a clienților</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Scorul satisfacției clienților</w:t>
            </w:r>
          </w:p>
        </w:tc>
      </w:tr>
      <w:tr>
        <w:trPr>
          <w:trHeight w:val="809" w:hRule="atLeast"/>
        </w:trPr>
        <w:tc>
          <w:tcPr>
            <w:tcW w:w="648" w:type="dxa"/>
            <w:vMerge w:val="restart"/>
            <w:tcBorders/>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sz w:val="24"/>
                <w:szCs w:val="24"/>
                <w:lang w:val="ro-RO" w:eastAsia="en-US" w:bidi="ar-SA"/>
              </w:rPr>
              <w:t>3</w:t>
            </w:r>
          </w:p>
        </w:tc>
        <w:tc>
          <w:tcPr>
            <w:tcW w:w="2878" w:type="dxa"/>
            <w:vMerge w:val="restart"/>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Maximizarea rentabilității capitalului uman al societății în condiții de stabilitate și satisfacție crescută a angajaților și de sănătate și securitate în muncă</w:t>
            </w:r>
          </w:p>
        </w:tc>
        <w:tc>
          <w:tcPr>
            <w:tcW w:w="3602" w:type="dxa"/>
            <w:tcBorders/>
            <w:vAlign w:val="center"/>
          </w:tcPr>
          <w:p>
            <w:pPr>
              <w:pStyle w:val="ListParagraph"/>
              <w:widowControl w:val="false"/>
              <w:numPr>
                <w:ilvl w:val="2"/>
                <w:numId w:val="30"/>
              </w:numPr>
              <w:tabs>
                <w:tab w:val="clear" w:pos="708"/>
                <w:tab w:val="left" w:pos="342" w:leader="none"/>
              </w:tabs>
              <w:suppressAutoHyphens w:val="true"/>
              <w:spacing w:lineRule="auto" w:line="240" w:before="0" w:after="0"/>
              <w:ind w:left="162" w:hanging="162"/>
              <w:contextualSpacing/>
              <w:jc w:val="both"/>
              <w:rPr>
                <w:rFonts w:ascii="Arial" w:hAnsi="Arial" w:cs="Arial"/>
                <w:sz w:val="24"/>
                <w:szCs w:val="24"/>
              </w:rPr>
            </w:pPr>
            <w:r>
              <w:rPr>
                <w:rFonts w:eastAsia="Calibri" w:cs="Arial" w:ascii="Arial" w:hAnsi="Arial"/>
                <w:sz w:val="24"/>
                <w:szCs w:val="24"/>
                <w:lang w:val="ro-RO" w:eastAsia="en-US" w:bidi="ar-SA"/>
              </w:rPr>
              <w:t>Asigurarea unui nivel maxim de competențe și cunoștințe necesare funcționării optime a societății</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Numărul anual mediu de ore de formare per angajat</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2"/>
                <w:szCs w:val="24"/>
              </w:rPr>
            </w:r>
          </w:p>
        </w:tc>
      </w:tr>
      <w:tr>
        <w:trPr>
          <w:trHeight w:val="926"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ListParagraph"/>
              <w:widowControl w:val="false"/>
              <w:numPr>
                <w:ilvl w:val="2"/>
                <w:numId w:val="31"/>
              </w:numPr>
              <w:tabs>
                <w:tab w:val="clear" w:pos="708"/>
                <w:tab w:val="left" w:pos="342" w:leader="none"/>
              </w:tabs>
              <w:suppressAutoHyphens w:val="true"/>
              <w:spacing w:lineRule="auto" w:line="240" w:before="0" w:after="0"/>
              <w:ind w:left="162" w:hanging="162"/>
              <w:contextualSpacing/>
              <w:jc w:val="both"/>
              <w:rPr>
                <w:rFonts w:ascii="Arial" w:hAnsi="Arial" w:cs="Arial"/>
                <w:sz w:val="24"/>
                <w:szCs w:val="24"/>
              </w:rPr>
            </w:pPr>
            <w:r>
              <w:rPr>
                <w:rFonts w:eastAsia="Calibri" w:cs="Arial" w:ascii="Arial" w:hAnsi="Arial"/>
                <w:sz w:val="24"/>
                <w:szCs w:val="24"/>
                <w:lang w:val="ro-RO" w:eastAsia="en-US" w:bidi="ar-SA"/>
              </w:rPr>
              <w:t>Asigurarea sistemului de instructaj privind sănătatea și securitatea în muncă</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Numărul de instruiri în materie de siguranță</w:t>
            </w:r>
          </w:p>
        </w:tc>
      </w:tr>
      <w:tr>
        <w:trPr>
          <w:trHeight w:val="980"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ListParagraph"/>
              <w:widowControl w:val="false"/>
              <w:numPr>
                <w:ilvl w:val="2"/>
                <w:numId w:val="32"/>
              </w:numPr>
              <w:tabs>
                <w:tab w:val="clear" w:pos="708"/>
                <w:tab w:val="left" w:pos="342" w:leader="none"/>
              </w:tabs>
              <w:suppressAutoHyphens w:val="true"/>
              <w:spacing w:lineRule="auto" w:line="240" w:before="0" w:after="0"/>
              <w:ind w:left="162" w:hanging="162"/>
              <w:contextualSpacing/>
              <w:jc w:val="both"/>
              <w:rPr>
                <w:rFonts w:ascii="Arial" w:hAnsi="Arial" w:cs="Arial"/>
                <w:sz w:val="24"/>
                <w:szCs w:val="24"/>
              </w:rPr>
            </w:pPr>
            <w:r>
              <w:rPr>
                <w:rFonts w:eastAsia="Calibri" w:cs="Arial" w:ascii="Arial" w:hAnsi="Arial"/>
                <w:sz w:val="24"/>
                <w:szCs w:val="24"/>
                <w:lang w:val="ro-RO" w:eastAsia="en-US" w:bidi="ar-SA"/>
              </w:rPr>
              <w:t>Scăderea la minim posibil a incidențelor și accidentelor de muncă</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Frecvența vătămărilor grave înregistrate</w:t>
            </w:r>
          </w:p>
        </w:tc>
      </w:tr>
      <w:tr>
        <w:trPr>
          <w:trHeight w:val="980" w:hRule="atLeast"/>
        </w:trPr>
        <w:tc>
          <w:tcPr>
            <w:tcW w:w="648" w:type="dxa"/>
            <w:vMerge w:val="restart"/>
            <w:tcBorders/>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sz w:val="24"/>
                <w:szCs w:val="24"/>
                <w:lang w:val="ro-RO" w:eastAsia="en-US" w:bidi="ar-SA"/>
              </w:rPr>
              <w:t>4</w:t>
            </w:r>
          </w:p>
        </w:tc>
        <w:tc>
          <w:tcPr>
            <w:tcW w:w="2878" w:type="dxa"/>
            <w:vMerge w:val="restart"/>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Implementarea unui sistem eficient și fiabil de guvernanță corporativă</w:t>
            </w:r>
          </w:p>
        </w:tc>
        <w:tc>
          <w:tcPr>
            <w:tcW w:w="3602" w:type="dxa"/>
            <w:tcBorders/>
            <w:vAlign w:val="center"/>
          </w:tcPr>
          <w:p>
            <w:pPr>
              <w:pStyle w:val="ListParagraph"/>
              <w:widowControl w:val="false"/>
              <w:numPr>
                <w:ilvl w:val="3"/>
                <w:numId w:val="33"/>
              </w:numPr>
              <w:tabs>
                <w:tab w:val="clear" w:pos="708"/>
                <w:tab w:val="left" w:pos="-18" w:leader="none"/>
              </w:tabs>
              <w:suppressAutoHyphens w:val="true"/>
              <w:spacing w:lineRule="auto" w:line="240" w:before="0" w:after="0"/>
              <w:ind w:left="162" w:hanging="252"/>
              <w:contextualSpacing/>
              <w:jc w:val="both"/>
              <w:rPr>
                <w:rFonts w:ascii="Arial" w:hAnsi="Arial" w:cs="Arial"/>
                <w:sz w:val="24"/>
                <w:szCs w:val="24"/>
              </w:rPr>
            </w:pPr>
            <w:r>
              <w:rPr>
                <w:rFonts w:eastAsia="Calibri" w:cs="Arial" w:ascii="Arial" w:hAnsi="Arial"/>
                <w:sz w:val="24"/>
                <w:szCs w:val="24"/>
                <w:lang w:val="ro-RO" w:eastAsia="en-US" w:bidi="ar-SA"/>
              </w:rPr>
              <w:t>Nominalizarea unui Consiliu de Administrație competent și implicat</w:t>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Numărul de administratori independenți din CA</w:t>
            </w:r>
          </w:p>
        </w:tc>
      </w:tr>
      <w:tr>
        <w:trPr>
          <w:trHeight w:val="891" w:hRule="atLeast"/>
        </w:trPr>
        <w:tc>
          <w:tcPr>
            <w:tcW w:w="648" w:type="dxa"/>
            <w:vMerge w:val="continue"/>
            <w:tcBorders/>
          </w:tcPr>
          <w:p>
            <w:pPr>
              <w:pStyle w:val="Normal"/>
              <w:widowControl w:val="false"/>
              <w:suppressAutoHyphens w:val="true"/>
              <w:spacing w:lineRule="auto" w:line="240" w:before="0" w:after="0"/>
              <w:jc w:val="both"/>
              <w:rPr>
                <w:rFonts w:ascii="Arial" w:hAnsi="Arial" w:cs="Arial"/>
                <w:sz w:val="24"/>
                <w:szCs w:val="24"/>
              </w:rPr>
            </w:pPr>
            <w:r>
              <w:rPr>
                <w:rFonts w:cs="Arial" w:ascii="Arial" w:hAnsi="Arial"/>
                <w:sz w:val="22"/>
                <w:szCs w:val="24"/>
              </w:rPr>
            </w:r>
          </w:p>
        </w:tc>
        <w:tc>
          <w:tcPr>
            <w:tcW w:w="2878" w:type="dxa"/>
            <w:vMerge w:val="continue"/>
            <w:tcBorders/>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2"/>
                <w:szCs w:val="24"/>
              </w:rPr>
            </w:r>
          </w:p>
        </w:tc>
        <w:tc>
          <w:tcPr>
            <w:tcW w:w="3602" w:type="dxa"/>
            <w:tcBorders/>
            <w:vAlign w:val="center"/>
          </w:tcPr>
          <w:p>
            <w:pPr>
              <w:pStyle w:val="ListParagraph"/>
              <w:widowControl w:val="false"/>
              <w:numPr>
                <w:ilvl w:val="3"/>
                <w:numId w:val="34"/>
              </w:numPr>
              <w:tabs>
                <w:tab w:val="clear" w:pos="708"/>
                <w:tab w:val="left" w:pos="-18" w:leader="none"/>
              </w:tabs>
              <w:suppressAutoHyphens w:val="true"/>
              <w:spacing w:lineRule="auto" w:line="240" w:before="0" w:after="0"/>
              <w:ind w:left="162" w:hanging="252"/>
              <w:contextualSpacing/>
              <w:jc w:val="both"/>
              <w:rPr>
                <w:rFonts w:ascii="Arial" w:hAnsi="Arial" w:cs="Arial"/>
                <w:sz w:val="24"/>
                <w:szCs w:val="24"/>
              </w:rPr>
            </w:pPr>
            <w:r>
              <w:rPr>
                <w:rFonts w:eastAsia="Calibri" w:cs="Arial" w:ascii="Arial" w:hAnsi="Arial"/>
                <w:sz w:val="24"/>
                <w:szCs w:val="24"/>
                <w:lang w:val="ro-RO" w:eastAsia="en-US" w:bidi="ar-SA"/>
              </w:rPr>
              <w:t>Crearea unui culturi organizaționale bazate pe transparență, etică și integritate</w:t>
            </w:r>
          </w:p>
          <w:p>
            <w:pPr>
              <w:pStyle w:val="ListParagraph"/>
              <w:widowControl w:val="false"/>
              <w:tabs>
                <w:tab w:val="clear" w:pos="708"/>
                <w:tab w:val="left" w:pos="-18" w:leader="none"/>
              </w:tabs>
              <w:suppressAutoHyphens w:val="true"/>
              <w:spacing w:lineRule="auto" w:line="240" w:before="0" w:after="0"/>
              <w:ind w:left="162" w:hanging="252"/>
              <w:contextualSpacing/>
              <w:jc w:val="both"/>
              <w:rPr>
                <w:rFonts w:ascii="Arial" w:hAnsi="Arial" w:cs="Arial"/>
                <w:sz w:val="24"/>
                <w:szCs w:val="24"/>
              </w:rPr>
            </w:pPr>
            <w:r>
              <w:rPr>
                <w:rFonts w:cs="Arial" w:ascii="Arial" w:hAnsi="Arial"/>
                <w:sz w:val="24"/>
                <w:szCs w:val="24"/>
              </w:rPr>
            </w:r>
          </w:p>
          <w:p>
            <w:pPr>
              <w:pStyle w:val="ListParagraph"/>
              <w:widowControl w:val="false"/>
              <w:tabs>
                <w:tab w:val="clear" w:pos="708"/>
                <w:tab w:val="left" w:pos="-18" w:leader="none"/>
              </w:tabs>
              <w:suppressAutoHyphens w:val="true"/>
              <w:spacing w:lineRule="auto" w:line="240" w:before="0" w:after="0"/>
              <w:ind w:left="162" w:hanging="252"/>
              <w:contextualSpacing/>
              <w:jc w:val="both"/>
              <w:rPr>
                <w:rFonts w:ascii="Arial" w:hAnsi="Arial" w:cs="Arial"/>
                <w:sz w:val="24"/>
                <w:szCs w:val="24"/>
              </w:rPr>
            </w:pPr>
            <w:r>
              <w:rPr>
                <w:rFonts w:cs="Arial" w:ascii="Arial" w:hAnsi="Arial"/>
                <w:sz w:val="24"/>
                <w:szCs w:val="24"/>
              </w:rPr>
            </w:r>
          </w:p>
        </w:tc>
        <w:tc>
          <w:tcPr>
            <w:tcW w:w="2429" w:type="dxa"/>
            <w:tcBorders/>
            <w:vAlign w:val="center"/>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Stabilirea politicilor de gestionare a riscurilor</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numPr>
          <w:ilvl w:val="0"/>
          <w:numId w:val="35"/>
        </w:numPr>
        <w:ind w:left="0" w:hanging="0"/>
        <w:jc w:val="both"/>
        <w:rPr>
          <w:rFonts w:ascii="Arial" w:hAnsi="Arial" w:cs="Arial"/>
          <w:b/>
          <w:b/>
          <w:bCs/>
          <w:color w:val="auto"/>
        </w:rPr>
      </w:pPr>
      <w:bookmarkStart w:id="27" w:name="_Toc193471067"/>
      <w:r>
        <w:rPr>
          <w:rFonts w:cs="Arial" w:ascii="Arial" w:hAnsi="Arial"/>
          <w:b/>
          <w:bCs/>
          <w:color w:val="auto"/>
        </w:rPr>
        <w:t>Așteptările acționarilor</w:t>
      </w:r>
      <w:bookmarkEnd w:id="27"/>
    </w:p>
    <w:p>
      <w:pPr>
        <w:pStyle w:val="Normal"/>
        <w:rPr>
          <w:rFonts w:ascii="Arial" w:hAnsi="Arial" w:cs="Arial"/>
          <w:sz w:val="24"/>
          <w:szCs w:val="24"/>
        </w:rPr>
      </w:pPr>
      <w:r>
        <w:rPr>
          <w:rFonts w:cs="Arial" w:ascii="Arial" w:hAnsi="Arial"/>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6.1 Așteptări privind performanța operațională a întreprinderii publice</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Exploatarea judicioasă a mijloacelor fixe, în vederea încadrării în țintele de performanță comercială și economică, precum și în cele de satisfacție a consumatorilor finali</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Financiar privind activitatea operațională</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Asigurarea stocurilor optime pentru derularea activității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Administrarea activelor primite în gestionare în condiții de eficiență și siguranță</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Gestionarea si urmărirea încasării creanțelor</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Creșterea gradului de realizare a curselor</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de rotație a activelor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1,76</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1,76</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1,76</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1,76</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de rotație a stocurilor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19,57</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19,57</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19,57</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19,57</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de rotație a creanțelor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5,2</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5,2</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5,2</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5,2</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Curse neefectuate din culpa proprie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5,00%</w:t>
            </w:r>
          </w:p>
        </w:tc>
      </w:tr>
    </w:tbl>
    <w:p>
      <w:pPr>
        <w:pStyle w:val="ListParagraph"/>
        <w:ind w:left="0" w:hanging="0"/>
        <w:jc w:val="both"/>
        <w:rPr>
          <w:rFonts w:ascii="Arial" w:hAnsi="Arial" w:cs="Arial"/>
          <w:sz w:val="24"/>
          <w:szCs w:val="24"/>
        </w:rPr>
      </w:pPr>
      <w:r>
        <w:rPr>
          <w:rFonts w:cs="Arial" w:ascii="Arial" w:hAnsi="Arial"/>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6.2. Așteptări privind rentabilitatea întreprinderii publice</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Exploatarea judicioasă a mijloacelor fixe, în vederea încadrării în țintele de performanță comercială și economică, precum și în cele de satisfacție a consumatorilor finali</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Financiar privind rentabilitatea</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Optimizarea permanentă a costurilor de productie astfel încât consumatorii să beneficieze de serviciul prestat, la costuri minime</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Identificarea si eliminarea cheltuielilor ineficiente</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Creșterea veniturilor directe prin maximizarea numărului de călători</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highlight w:val="yellow"/>
              </w:rPr>
            </w:pPr>
            <w:r>
              <w:rPr>
                <w:rFonts w:eastAsia="Calibri" w:cs="Arial" w:ascii="Arial" w:hAnsi="Arial"/>
                <w:sz w:val="24"/>
                <w:szCs w:val="24"/>
                <w:lang w:val="ro-RO" w:eastAsia="en-US" w:bidi="ar-SA"/>
              </w:rPr>
              <w:t>Rentabilitatea activelor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highlight w:val="yellow"/>
              </w:rPr>
            </w:pPr>
            <w:r>
              <w:rPr>
                <w:rFonts w:eastAsia="Calibri" w:cs="Arial" w:ascii="Arial" w:hAnsi="Arial"/>
                <w:sz w:val="24"/>
                <w:szCs w:val="24"/>
                <w:lang w:val="ro-RO" w:eastAsia="en-US" w:bidi="ar-SA"/>
              </w:rPr>
              <w:t>1,40%</w:t>
            </w:r>
          </w:p>
        </w:tc>
        <w:tc>
          <w:tcPr>
            <w:tcW w:w="1843" w:type="dxa"/>
            <w:tcBorders/>
          </w:tcPr>
          <w:p>
            <w:pPr>
              <w:pStyle w:val="Normal"/>
              <w:widowControl w:val="false"/>
              <w:suppressAutoHyphens w:val="true"/>
              <w:spacing w:lineRule="auto" w:line="276" w:before="0" w:after="0"/>
              <w:jc w:val="center"/>
              <w:rPr>
                <w:rFonts w:ascii="Arial" w:hAnsi="Arial" w:cs="Arial"/>
                <w:sz w:val="24"/>
                <w:szCs w:val="24"/>
                <w:highlight w:val="yellow"/>
              </w:rPr>
            </w:pPr>
            <w:r>
              <w:rPr>
                <w:rFonts w:eastAsia="Calibri" w:cs="Arial" w:ascii="Arial" w:hAnsi="Arial"/>
                <w:sz w:val="24"/>
                <w:szCs w:val="24"/>
                <w:lang w:val="ro-RO" w:eastAsia="en-US" w:bidi="ar-SA"/>
              </w:rPr>
              <w:t>1,40%</w:t>
            </w:r>
          </w:p>
        </w:tc>
        <w:tc>
          <w:tcPr>
            <w:tcW w:w="1846" w:type="dxa"/>
            <w:tcBorders/>
          </w:tcPr>
          <w:p>
            <w:pPr>
              <w:pStyle w:val="Normal"/>
              <w:widowControl w:val="false"/>
              <w:suppressAutoHyphens w:val="true"/>
              <w:spacing w:lineRule="auto" w:line="276" w:before="0" w:after="0"/>
              <w:jc w:val="center"/>
              <w:rPr>
                <w:rFonts w:ascii="Arial" w:hAnsi="Arial" w:cs="Arial"/>
                <w:sz w:val="24"/>
                <w:szCs w:val="24"/>
                <w:highlight w:val="yellow"/>
              </w:rPr>
            </w:pPr>
            <w:r>
              <w:rPr>
                <w:rFonts w:eastAsia="Calibri" w:cs="Arial" w:ascii="Arial" w:hAnsi="Arial"/>
                <w:sz w:val="24"/>
                <w:szCs w:val="24"/>
                <w:lang w:val="ro-RO" w:eastAsia="en-US" w:bidi="ar-SA"/>
              </w:rPr>
              <w:t>1,40%</w:t>
            </w:r>
          </w:p>
        </w:tc>
        <w:tc>
          <w:tcPr>
            <w:tcW w:w="1443" w:type="dxa"/>
            <w:tcBorders/>
          </w:tcPr>
          <w:p>
            <w:pPr>
              <w:pStyle w:val="Normal"/>
              <w:widowControl w:val="false"/>
              <w:suppressAutoHyphens w:val="true"/>
              <w:spacing w:lineRule="auto" w:line="276" w:before="0" w:after="0"/>
              <w:jc w:val="center"/>
              <w:rPr>
                <w:rFonts w:ascii="Arial" w:hAnsi="Arial" w:cs="Arial"/>
                <w:sz w:val="24"/>
                <w:szCs w:val="24"/>
                <w:highlight w:val="yellow"/>
              </w:rPr>
            </w:pPr>
            <w:r>
              <w:rPr>
                <w:rFonts w:eastAsia="Calibri" w:cs="Arial" w:ascii="Arial" w:hAnsi="Arial"/>
                <w:sz w:val="24"/>
                <w:szCs w:val="24"/>
                <w:lang w:val="ro-RO" w:eastAsia="en-US" w:bidi="ar-SA"/>
              </w:rPr>
              <w:t>1,40%</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Rentabilitatea capitalului propriu</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2,76%</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2,76%</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2,76%</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2,76%</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Marja profitului din exploatare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0,91%</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0,91%</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0,91%</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0,91%</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Marja anuală netă a profitului</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0,55%</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0,55%</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0,55%</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0,55%</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anuală de creștere a cifrei de afaceri nete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2,48%</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2,48%</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2,48%</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2,48%</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anuală de creștere a profitului</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3,77%</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3,77%</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3,77%</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3,77%</w:t>
            </w:r>
          </w:p>
        </w:tc>
      </w:tr>
      <w:tr>
        <w:trPr/>
        <w:tc>
          <w:tcPr>
            <w:tcW w:w="2268" w:type="dxa"/>
            <w:tcBorders/>
            <w:vAlign w:val="center"/>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sz w:val="24"/>
                <w:szCs w:val="24"/>
                <w:lang w:val="ro-RO" w:eastAsia="en-US" w:bidi="ar-SA"/>
              </w:rPr>
              <w:t>Cota de piață</w:t>
            </w:r>
          </w:p>
        </w:tc>
        <w:tc>
          <w:tcPr>
            <w:tcW w:w="1616"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100%</w:t>
            </w:r>
          </w:p>
        </w:tc>
        <w:tc>
          <w:tcPr>
            <w:tcW w:w="1843"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100%</w:t>
            </w:r>
          </w:p>
        </w:tc>
        <w:tc>
          <w:tcPr>
            <w:tcW w:w="1846"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100%</w:t>
            </w:r>
          </w:p>
        </w:tc>
        <w:tc>
          <w:tcPr>
            <w:tcW w:w="1443"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100%</w:t>
            </w:r>
          </w:p>
        </w:tc>
      </w:tr>
      <w:tr>
        <w:trPr/>
        <w:tc>
          <w:tcPr>
            <w:tcW w:w="2268" w:type="dxa"/>
            <w:tcBorders/>
            <w:vAlign w:val="center"/>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sz w:val="24"/>
                <w:szCs w:val="24"/>
                <w:lang w:val="ro-RO" w:eastAsia="en-US" w:bidi="ar-SA"/>
              </w:rPr>
              <w:t>Rata de retenție a clienților</w:t>
            </w:r>
          </w:p>
        </w:tc>
        <w:tc>
          <w:tcPr>
            <w:tcW w:w="1616"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55,00%</w:t>
            </w:r>
          </w:p>
        </w:tc>
        <w:tc>
          <w:tcPr>
            <w:tcW w:w="1843"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55,00%</w:t>
            </w:r>
          </w:p>
        </w:tc>
        <w:tc>
          <w:tcPr>
            <w:tcW w:w="1846"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55,00%</w:t>
            </w:r>
          </w:p>
        </w:tc>
        <w:tc>
          <w:tcPr>
            <w:tcW w:w="1443" w:type="dxa"/>
            <w:tcBorders/>
          </w:tcPr>
          <w:p>
            <w:pPr>
              <w:pStyle w:val="Normal"/>
              <w:widowControl w:val="false"/>
              <w:suppressAutoHyphens w:val="true"/>
              <w:spacing w:lineRule="auto" w:line="240" w:before="0" w:after="0"/>
              <w:jc w:val="center"/>
              <w:rPr>
                <w:rFonts w:ascii="Arial" w:hAnsi="Arial" w:cs="Arial"/>
                <w:sz w:val="24"/>
                <w:szCs w:val="24"/>
              </w:rPr>
            </w:pPr>
            <w:r>
              <w:rPr>
                <w:rFonts w:eastAsia="Calibri" w:cs="Arial" w:ascii="Arial" w:hAnsi="Arial"/>
                <w:sz w:val="24"/>
                <w:szCs w:val="24"/>
                <w:lang w:val="ro-RO" w:eastAsia="en-US" w:bidi="ar-SA"/>
              </w:rPr>
              <w:t>55,00%</w:t>
            </w:r>
          </w:p>
        </w:tc>
      </w:tr>
    </w:tbl>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6.3. Așteptări privind politica de investiții aplicabilă societății</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iCs/>
          <w:sz w:val="24"/>
          <w:szCs w:val="24"/>
          <w:lang w:val="ro-RO"/>
        </w:rPr>
        <w:t>Investițiile</w:t>
      </w:r>
      <w:r>
        <w:rPr>
          <w:rStyle w:val="Bodytext"/>
          <w:rFonts w:eastAsia="" w:cs="Arial" w:ascii="Arial" w:hAnsi="Arial" w:eastAsiaTheme="majorEastAsia"/>
          <w:sz w:val="24"/>
          <w:szCs w:val="24"/>
          <w:lang w:val="ro-RO"/>
        </w:rPr>
        <w:t xml:space="preserve"> reprezintă suportul material al </w:t>
      </w:r>
      <w:r>
        <w:rPr>
          <w:rStyle w:val="Bodytext"/>
          <w:rFonts w:eastAsia="" w:cs="Arial" w:ascii="Arial" w:hAnsi="Arial" w:eastAsiaTheme="majorEastAsia"/>
          <w:iCs/>
          <w:sz w:val="24"/>
          <w:szCs w:val="24"/>
          <w:lang w:val="ro-RO"/>
        </w:rPr>
        <w:t>creșterii economice</w:t>
      </w:r>
      <w:r>
        <w:rPr>
          <w:rStyle w:val="Bodytext"/>
          <w:rFonts w:eastAsia="" w:cs="Arial" w:ascii="Arial" w:hAnsi="Arial" w:eastAsiaTheme="majorEastAsia"/>
          <w:sz w:val="24"/>
          <w:szCs w:val="24"/>
          <w:lang w:val="ro-RO"/>
        </w:rPr>
        <w:t>, dimensiunea investițiilor, ritmul implementării și eficiența utilizării determinând ritmul și proporțiile creșterii economice.</w:t>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rPr>
        <w:t>În raport cu modul de folosire a bunurilor de capital, investițiile se împart în:</w:t>
      </w:r>
    </w:p>
    <w:p>
      <w:pPr>
        <w:pStyle w:val="TextBody"/>
        <w:spacing w:before="0" w:after="120"/>
        <w:ind w:left="540" w:hanging="360"/>
        <w:jc w:val="both"/>
        <w:rPr>
          <w:rFonts w:ascii="Arial" w:hAnsi="Arial" w:cs="Arial"/>
          <w:sz w:val="24"/>
          <w:szCs w:val="24"/>
          <w:lang w:val="ro-RO"/>
        </w:rPr>
      </w:pPr>
      <w:r>
        <w:rPr>
          <w:rStyle w:val="Bodytext"/>
          <w:rFonts w:eastAsia="" w:cs="Arial" w:ascii="Arial" w:hAnsi="Arial" w:eastAsiaTheme="majorEastAsia"/>
          <w:i/>
          <w:iCs/>
          <w:sz w:val="24"/>
          <w:szCs w:val="24"/>
          <w:lang w:val="ro-RO"/>
        </w:rPr>
        <w:t>a) Investiții de înlocuire</w:t>
      </w:r>
      <w:r>
        <w:rPr>
          <w:rStyle w:val="Bodytext"/>
          <w:rFonts w:eastAsia="" w:cs="Arial" w:ascii="Arial" w:hAnsi="Arial" w:eastAsiaTheme="majorEastAsia"/>
          <w:sz w:val="24"/>
          <w:szCs w:val="24"/>
          <w:lang w:val="ro-RO"/>
        </w:rPr>
        <w:t xml:space="preserve"> destinate înlocuirii bunurilor de capital fix scoase din funcțiune ca urmare a uzurii lor fizice. Sursa acestor cheluieli o constituie amortizarea;</w:t>
      </w:r>
    </w:p>
    <w:p>
      <w:pPr>
        <w:pStyle w:val="TextBody"/>
        <w:spacing w:before="0" w:after="120"/>
        <w:ind w:left="540" w:hanging="360"/>
        <w:jc w:val="both"/>
        <w:rPr>
          <w:rFonts w:ascii="Arial" w:hAnsi="Arial" w:eastAsia="" w:cs="Arial" w:eastAsiaTheme="majorEastAsia"/>
          <w:sz w:val="24"/>
          <w:szCs w:val="24"/>
          <w:lang w:val="ro-RO"/>
        </w:rPr>
      </w:pPr>
      <w:r>
        <w:rPr>
          <w:rStyle w:val="Bodytext"/>
          <w:rFonts w:eastAsia="" w:cs="Arial" w:ascii="Arial" w:hAnsi="Arial" w:eastAsiaTheme="majorEastAsia"/>
          <w:i/>
          <w:iCs/>
          <w:sz w:val="24"/>
          <w:szCs w:val="24"/>
          <w:lang w:val="ro-RO"/>
        </w:rPr>
        <w:t>b) Investiții pentru dezvoltare</w:t>
      </w:r>
      <w:r>
        <w:rPr>
          <w:rStyle w:val="Bodytext"/>
          <w:rFonts w:eastAsia="" w:cs="Arial" w:ascii="Arial" w:hAnsi="Arial" w:eastAsiaTheme="majorEastAsia"/>
          <w:sz w:val="24"/>
          <w:szCs w:val="24"/>
          <w:lang w:val="ro-RO"/>
        </w:rPr>
        <w:t xml:space="preserve"> sau </w:t>
      </w:r>
      <w:r>
        <w:rPr>
          <w:rStyle w:val="Bodytext"/>
          <w:rFonts w:eastAsia="" w:cs="Arial" w:ascii="Arial" w:hAnsi="Arial" w:eastAsiaTheme="majorEastAsia"/>
          <w:i/>
          <w:iCs/>
          <w:sz w:val="24"/>
          <w:szCs w:val="24"/>
          <w:lang w:val="ro-RO"/>
        </w:rPr>
        <w:t>investiții nete,</w:t>
      </w:r>
      <w:r>
        <w:rPr>
          <w:rStyle w:val="Bodytext"/>
          <w:rFonts w:eastAsia="" w:cs="Arial" w:ascii="Arial" w:hAnsi="Arial" w:eastAsiaTheme="majorEastAsia"/>
          <w:sz w:val="24"/>
          <w:szCs w:val="24"/>
          <w:lang w:val="ro-RO"/>
        </w:rPr>
        <w:t xml:space="preserve"> destinate sporirii volumului capitalului tehnic real a căror sursă de finanțare o reprezintă venitul.</w:t>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rPr>
        <w:t>Programul anual și multianual de investiții va fi înaintat de Consiliul de administrație spre aprobare către autoritatea publică tutelară și Adunarea generală a acționarilor, odată cu proiectul bugetului de venituri și cheltuieli.</w:t>
      </w:r>
    </w:p>
    <w:p>
      <w:pPr>
        <w:pStyle w:val="TextBody"/>
        <w:spacing w:before="0" w:after="120"/>
        <w:jc w:val="both"/>
        <w:rPr>
          <w:rStyle w:val="Bodytext"/>
          <w:rFonts w:ascii="Arial" w:hAnsi="Arial" w:eastAsia="" w:cs="Arial" w:eastAsiaTheme="majorEastAsia"/>
          <w:sz w:val="24"/>
          <w:szCs w:val="24"/>
          <w:lang w:val="ro-RO"/>
        </w:rPr>
      </w:pPr>
      <w:r>
        <w:rPr>
          <w:rStyle w:val="Bodytext"/>
          <w:rFonts w:eastAsia="" w:cs="Arial" w:ascii="Arial" w:hAnsi="Arial" w:eastAsiaTheme="majorEastAsia"/>
          <w:sz w:val="24"/>
          <w:szCs w:val="24"/>
          <w:lang w:val="ro-RO"/>
        </w:rPr>
        <w:t>Politica de investiții trebuie corelată cu obiectivele strategice de mai sus, în vederea modernizării și îmbunătățirii serviciului de transport public din Municipiul Tulcea și trebuie să vizeze atât investițiile de înlocuire cât și investițiile pentru dezvoltare.</w:t>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rPr>
        <w:t>Cheltuielile de capital propuse prin programul de dezvoltare și investiții trebuie să fie în corelare directă cu obiectivele strategice ale societății.</w:t>
      </w:r>
    </w:p>
    <w:p>
      <w:pPr>
        <w:pStyle w:val="Normal"/>
        <w:jc w:val="both"/>
        <w:rPr>
          <w:rStyle w:val="Bodytext"/>
          <w:rFonts w:ascii="Arial" w:hAnsi="Arial" w:eastAsia="" w:cs="Arial" w:eastAsiaTheme="majorEastAsia"/>
          <w:sz w:val="24"/>
          <w:szCs w:val="24"/>
        </w:rPr>
      </w:pPr>
      <w:r>
        <w:rPr>
          <w:rStyle w:val="Bodytext"/>
          <w:rFonts w:eastAsia="Calibri" w:cs="Arial" w:ascii="Arial" w:hAnsi="Arial" w:eastAsiaTheme="minorHAnsi"/>
          <w:sz w:val="24"/>
          <w:szCs w:val="24"/>
        </w:rPr>
        <w:t>Angajarea oricăror cheltuieli trebuie să respecte principiile eficienței, eficacității și economicității.</w:t>
      </w:r>
    </w:p>
    <w:p>
      <w:pPr>
        <w:pStyle w:val="TextBody"/>
        <w:spacing w:lineRule="auto" w:line="240"/>
        <w:jc w:val="both"/>
        <w:rPr>
          <w:rStyle w:val="Bodytext"/>
          <w:rFonts w:ascii="Arial" w:hAnsi="Arial" w:eastAsia="" w:cs="Arial" w:eastAsiaTheme="majorEastAsia"/>
          <w:sz w:val="24"/>
          <w:szCs w:val="24"/>
          <w:lang w:val="ro-RO"/>
        </w:rPr>
      </w:pPr>
      <w:r>
        <w:rPr>
          <w:rFonts w:eastAsia="" w:cs="Arial" w:eastAsiaTheme="majorEastAsia" w:ascii="Arial" w:hAnsi="Arial"/>
          <w:sz w:val="24"/>
          <w:szCs w:val="24"/>
          <w:lang w:val="ro-RO"/>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Asigurarea în următorii 4 ani a serviciului de transport public din municipiul Tulcea în condiții de eficiență energetică, eficacitate și respect al normelor de mediu</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Financiar privind politica de investiții</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Asigurarea dezvoltării durabile în scopul protejării resurselor naturale</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Cresterea flexibilitatii organizației în vederea adaptării la schimbarile ce se impun</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Diversificarea ofertei către clienți, prin oferirea de pachete de servicii adaptate cerințelor</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Dezvoltarea și introducerea de tehnologii noi</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cheltuielilor de capital</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8,72%</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8,72%</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8,72%</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8,72%</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cheltuielilor pentru cercetare dezvoltare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w:t>
            </w:r>
          </w:p>
        </w:tc>
      </w:tr>
    </w:tbl>
    <w:p>
      <w:pPr>
        <w:pStyle w:val="TextBody"/>
        <w:jc w:val="both"/>
        <w:rPr>
          <w:rFonts w:ascii="Arial" w:hAnsi="Arial" w:cs="Arial"/>
          <w:sz w:val="24"/>
          <w:szCs w:val="24"/>
          <w:lang w:val="ro-RO"/>
        </w:rPr>
      </w:pPr>
      <w:r>
        <w:rPr>
          <w:rFonts w:cs="Arial" w:ascii="Arial" w:hAnsi="Arial"/>
          <w:sz w:val="24"/>
          <w:szCs w:val="24"/>
          <w:lang w:val="ro-RO"/>
        </w:rPr>
      </w:r>
      <w:bookmarkStart w:id="28" w:name="bookmark221"/>
      <w:bookmarkStart w:id="29" w:name="bookmark221"/>
      <w:bookmarkEnd w:id="29"/>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6.4 Așteptările cu privire</w:t>
      </w:r>
      <w:bookmarkStart w:id="30" w:name="bookmark18"/>
      <w:r>
        <w:rPr>
          <w:rFonts w:eastAsia="" w:cs="Arial" w:ascii="Arial" w:hAnsi="Arial" w:eastAsiaTheme="majorEastAsia"/>
          <w:b/>
          <w:bCs/>
          <w:color w:val="2F5496" w:themeColor="accent1" w:themeShade="bf"/>
          <w:sz w:val="26"/>
          <w:szCs w:val="26"/>
        </w:rPr>
        <w:t xml:space="preserve"> la calitatea și siguranța produselor și serviciilor</w:t>
      </w:r>
      <w:bookmarkEnd w:id="30"/>
    </w:p>
    <w:p>
      <w:pPr>
        <w:pStyle w:val="TextBody"/>
        <w:spacing w:lineRule="auto" w:line="240"/>
        <w:jc w:val="both"/>
        <w:rPr>
          <w:rStyle w:val="Bodytext"/>
          <w:rFonts w:ascii="Arial" w:hAnsi="Arial" w:eastAsia="" w:cs="Arial" w:eastAsiaTheme="majorEastAsia"/>
          <w:sz w:val="24"/>
          <w:szCs w:val="24"/>
          <w:lang w:val="ro-RO"/>
        </w:rPr>
      </w:pPr>
      <w:r>
        <w:rPr>
          <w:rFonts w:eastAsia="" w:cs="Arial" w:eastAsiaTheme="majorEastAsia" w:ascii="Arial" w:hAnsi="Arial"/>
          <w:sz w:val="24"/>
          <w:szCs w:val="24"/>
          <w:lang w:val="ro-RO"/>
        </w:rPr>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rPr>
        <w:t>Cerințele minime de calitate și siguranță sunt stipulate în Contractul de delegare a gestiunii serviciului de transport public din Municipiul Tulcea.</w:t>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rPr>
        <w:t>În vederea îmbunătățirii calității și siguranței serviciilor, administratorii societății vor veghea la respectarea, de către conducerea executivă societății, a măsurilor privind crearea unui mediu de lucru conform standardelor în vigoare în vederea desfășurării activităților societății cu personal calificat și autorizat. Acestea trebuie să fie orientate spre îndeplinirea tuturor cerințelor și așteptărilor utilizatorilor.</w:t>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rPr>
        <w:t>În vederea fundamentării deciziilor, Consiliul de administrație împreună cu conducerea executivă trebuie să se asigure că le sunt furnizate informații în timp real cu privire la gradul de satisfacție a beneficiarilor serviciilor societății.</w:t>
      </w:r>
    </w:p>
    <w:p>
      <w:pPr>
        <w:pStyle w:val="Normal"/>
        <w:jc w:val="both"/>
        <w:rPr>
          <w:rFonts w:ascii="Arial" w:hAnsi="Arial" w:cs="Arial"/>
          <w:sz w:val="24"/>
          <w:szCs w:val="24"/>
        </w:rPr>
      </w:pPr>
      <w:r>
        <w:rPr>
          <w:rFonts w:cs="Arial" w:ascii="Arial" w:hAnsi="Arial"/>
          <w:sz w:val="24"/>
          <w:szCs w:val="24"/>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Exploatarea judicioasă a mijloacelor fixe, în vederea încadrării în țintele de performanță comercială și economică, precum și în cele de satisfacție a consumatorilor finali</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Nefinanciar privind satisfacția clienților</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Realizarea anuală a misiunilor de audit a calității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Sondarea anuală a satisfacției clienților</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Formarea angajaților în tehnici de relaționare cu clienții</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Scorul satisfacției clienților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41,95%</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41,95%</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41,95%</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41,95%</w:t>
            </w:r>
          </w:p>
        </w:tc>
      </w:tr>
    </w:tbl>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eastAsia="" w:cs="Arial" w:eastAsiaTheme="majorEastAsia"/>
          <w:b/>
          <w:b/>
          <w:bCs/>
          <w:color w:val="2F5496" w:themeColor="accent1" w:themeShade="bf"/>
          <w:sz w:val="26"/>
          <w:szCs w:val="26"/>
        </w:rPr>
      </w:pPr>
      <w:bookmarkStart w:id="31" w:name="bookmark20"/>
      <w:r>
        <w:rPr>
          <w:rFonts w:eastAsia="" w:cs="Arial" w:ascii="Arial" w:hAnsi="Arial" w:eastAsiaTheme="majorEastAsia"/>
          <w:b/>
          <w:bCs/>
          <w:color w:val="2F5496" w:themeColor="accent1" w:themeShade="bf"/>
          <w:sz w:val="26"/>
          <w:szCs w:val="26"/>
        </w:rPr>
        <w:t>6.5 Așteptările cu privire la comunicarea cu organele de administrare și conducere</w:t>
      </w:r>
      <w:bookmarkEnd w:id="31"/>
    </w:p>
    <w:p>
      <w:pPr>
        <w:pStyle w:val="Normal"/>
        <w:jc w:val="both"/>
        <w:rPr>
          <w:rStyle w:val="Bodytext"/>
          <w:rFonts w:ascii="Arial" w:hAnsi="Arial" w:eastAsia="Calibri" w:cs="Arial" w:eastAsiaTheme="minorHAnsi"/>
          <w:b/>
          <w:b/>
          <w:bCs/>
          <w:sz w:val="24"/>
          <w:szCs w:val="24"/>
        </w:rPr>
      </w:pPr>
      <w:r>
        <w:rPr>
          <w:rFonts w:eastAsia="Calibri" w:cs="Arial" w:eastAsiaTheme="minorHAnsi" w:ascii="Arial" w:hAnsi="Arial"/>
          <w:b/>
          <w:bCs/>
          <w:sz w:val="24"/>
          <w:szCs w:val="24"/>
        </w:rPr>
      </w:r>
    </w:p>
    <w:p>
      <w:pPr>
        <w:pStyle w:val="Normal"/>
        <w:jc w:val="both"/>
        <w:rPr>
          <w:rFonts w:ascii="Arial" w:hAnsi="Arial" w:cs="Arial"/>
          <w:sz w:val="24"/>
          <w:szCs w:val="24"/>
        </w:rPr>
      </w:pPr>
      <w:r>
        <w:rPr>
          <w:rStyle w:val="Bodytext"/>
          <w:rFonts w:eastAsia="Calibri" w:cs="Arial" w:ascii="Arial" w:hAnsi="Arial" w:eastAsiaTheme="minorHAnsi"/>
          <w:b/>
          <w:bCs/>
          <w:sz w:val="24"/>
          <w:szCs w:val="24"/>
        </w:rPr>
        <w:t xml:space="preserve">Comunicarea dintre organele de conducere </w:t>
      </w:r>
      <w:r>
        <w:rPr>
          <w:rFonts w:cs="Arial" w:ascii="Arial" w:hAnsi="Arial"/>
          <w:sz w:val="24"/>
          <w:szCs w:val="24"/>
        </w:rPr>
        <w:t xml:space="preserve">și de administrare ale societății și acționarul societății, se va face conform prevederilor din contractul de delegare a gestiunii, Ordonanța de urgența a Guvernului nr. 109/2011 privind guvernanța corporativă a întreprinderilor publice, cu modificările și completările ulterioare și a Legii nr. 31/1990, republicată, cu modificările și completările ulterioare. </w:t>
      </w:r>
    </w:p>
    <w:p>
      <w:pPr>
        <w:pStyle w:val="Normal"/>
        <w:jc w:val="both"/>
        <w:rPr>
          <w:rFonts w:ascii="Arial" w:hAnsi="Arial" w:cs="Arial"/>
          <w:sz w:val="24"/>
          <w:szCs w:val="24"/>
        </w:rPr>
      </w:pPr>
      <w:r>
        <w:rPr>
          <w:rFonts w:cs="Arial" w:ascii="Arial" w:hAnsi="Arial"/>
          <w:iCs/>
          <w:sz w:val="24"/>
          <w:szCs w:val="24"/>
        </w:rPr>
        <w:t>Directorul General va elabora trimestrial și va prezenta consiliului de administrație</w:t>
      </w:r>
      <w:r>
        <w:rPr>
          <w:rFonts w:cs="Arial" w:ascii="Arial" w:hAnsi="Arial"/>
          <w:sz w:val="24"/>
          <w:szCs w:val="24"/>
        </w:rPr>
        <w:t xml:space="preserve"> un raport în care vor fi prezentate informații privind execuția mandatului său, schimbările semnificative în situația afacerilor și în aspectele externe care ar putea afecta performanța societății sau perspectivele sale strategice.</w:t>
      </w:r>
    </w:p>
    <w:p>
      <w:pPr>
        <w:pStyle w:val="Normal"/>
        <w:jc w:val="both"/>
        <w:rPr>
          <w:rStyle w:val="Bodytext"/>
          <w:rFonts w:ascii="Arial" w:hAnsi="Arial" w:eastAsia="Calibri" w:cs="Arial" w:eastAsiaTheme="minorHAnsi"/>
          <w:sz w:val="24"/>
          <w:szCs w:val="24"/>
        </w:rPr>
      </w:pPr>
      <w:r>
        <w:rPr>
          <w:rStyle w:val="Bodytext"/>
          <w:rFonts w:eastAsia="Calibri" w:cs="Arial" w:ascii="Arial" w:hAnsi="Arial" w:eastAsiaTheme="minorHAnsi"/>
          <w:iCs/>
          <w:sz w:val="24"/>
          <w:szCs w:val="24"/>
        </w:rPr>
        <w:t>Consiliul de administrație al societății va prezenta semestrial, în cadrul adunării generale a</w:t>
      </w:r>
      <w:r>
        <w:rPr>
          <w:rStyle w:val="Bodytext"/>
          <w:rFonts w:eastAsia="Calibri" w:cs="Arial" w:ascii="Arial" w:hAnsi="Arial" w:eastAsiaTheme="minorHAnsi"/>
          <w:sz w:val="24"/>
          <w:szCs w:val="24"/>
        </w:rPr>
        <w:t xml:space="preserve"> acționarilor, un raport asupra activității de administrare, care va include și informații referitoare la execuția contractelor de mandat ale directorilor, detalii cu privire la activitățile operaționale, la performanțele financiare ale societății și la raportările contabile semestriale ale societății.</w:t>
      </w:r>
    </w:p>
    <w:p>
      <w:pPr>
        <w:pStyle w:val="Normal"/>
        <w:jc w:val="both"/>
        <w:rPr>
          <w:rStyle w:val="Bodytext"/>
          <w:rFonts w:ascii="Arial" w:hAnsi="Arial" w:eastAsia="Calibri" w:cs="Arial" w:eastAsiaTheme="minorHAnsi"/>
          <w:sz w:val="24"/>
          <w:szCs w:val="24"/>
        </w:rPr>
      </w:pPr>
      <w:r>
        <w:rPr>
          <w:rStyle w:val="Bodytext"/>
          <w:rFonts w:eastAsia="Calibri" w:cs="Arial" w:ascii="Arial" w:hAnsi="Arial" w:eastAsiaTheme="minorHAnsi"/>
          <w:iCs/>
          <w:sz w:val="24"/>
          <w:szCs w:val="24"/>
        </w:rPr>
        <w:t>Comitetul de nominalizare și remunerare din cadrul consiliului de administrație</w:t>
      </w:r>
      <w:r>
        <w:rPr>
          <w:rStyle w:val="Bodytext"/>
          <w:rFonts w:eastAsia="Calibri" w:cs="Arial" w:ascii="Arial" w:hAnsi="Arial" w:eastAsiaTheme="minorHAnsi"/>
          <w:sz w:val="24"/>
          <w:szCs w:val="24"/>
        </w:rPr>
        <w:t xml:space="preserve"> </w:t>
      </w:r>
      <w:r>
        <w:rPr>
          <w:rStyle w:val="Bodytext"/>
          <w:rFonts w:eastAsia="Calibri" w:cs="Arial" w:ascii="Arial" w:hAnsi="Arial" w:eastAsiaTheme="minorHAnsi"/>
          <w:iCs/>
          <w:sz w:val="24"/>
          <w:szCs w:val="24"/>
        </w:rPr>
        <w:t xml:space="preserve">va elabora un raport anual </w:t>
      </w:r>
      <w:r>
        <w:rPr>
          <w:rStyle w:val="Bodytext"/>
          <w:rFonts w:eastAsia="Calibri" w:cs="Arial" w:ascii="Arial" w:hAnsi="Arial" w:eastAsiaTheme="minorHAnsi"/>
          <w:sz w:val="24"/>
          <w:szCs w:val="24"/>
        </w:rPr>
        <w:t>cu privire la remunerațiile și alte avantaje acordate administratorilor și directorilor în cursul anului financiar. Raportul este prezentat adunării generale a acționarilor care aprobă situațiile financiare anuale și cuprinde cel puțin informații privind:</w:t>
      </w:r>
    </w:p>
    <w:p>
      <w:pPr>
        <w:pStyle w:val="ListParagraph"/>
        <w:widowControl w:val="false"/>
        <w:numPr>
          <w:ilvl w:val="0"/>
          <w:numId w:val="7"/>
        </w:numPr>
        <w:suppressAutoHyphens w:val="true"/>
        <w:ind w:left="540" w:hanging="360"/>
        <w:jc w:val="both"/>
        <w:rPr>
          <w:rFonts w:ascii="Arial" w:hAnsi="Arial" w:cs="Arial"/>
          <w:sz w:val="24"/>
          <w:szCs w:val="24"/>
        </w:rPr>
      </w:pPr>
      <w:r>
        <w:rPr>
          <w:rStyle w:val="Bodytext"/>
          <w:rFonts w:eastAsia="Calibri" w:cs="Arial" w:ascii="Arial" w:hAnsi="Arial" w:eastAsiaTheme="minorHAnsi"/>
          <w:sz w:val="24"/>
          <w:szCs w:val="24"/>
        </w:rPr>
        <w:t>structura remunerației, cu explicarea ponderii componentei variabile și componentei fixe;</w:t>
      </w:r>
    </w:p>
    <w:p>
      <w:pPr>
        <w:pStyle w:val="ListParagraph"/>
        <w:widowControl w:val="false"/>
        <w:numPr>
          <w:ilvl w:val="0"/>
          <w:numId w:val="7"/>
        </w:numPr>
        <w:suppressAutoHyphens w:val="true"/>
        <w:ind w:left="540" w:hanging="360"/>
        <w:jc w:val="both"/>
        <w:rPr>
          <w:rFonts w:ascii="Arial" w:hAnsi="Arial" w:cs="Arial"/>
          <w:sz w:val="24"/>
          <w:szCs w:val="24"/>
        </w:rPr>
      </w:pPr>
      <w:r>
        <w:rPr>
          <w:rStyle w:val="Bodytext"/>
          <w:rFonts w:eastAsia="Calibri" w:cs="Arial" w:ascii="Arial" w:hAnsi="Arial" w:eastAsiaTheme="minorHAnsi"/>
          <w:sz w:val="24"/>
          <w:szCs w:val="24"/>
        </w:rPr>
        <w:t>criteriile de performanță ce fundamentează componenta variabilă a remunerației, raportul dintre performanța realizată și remunerație;</w:t>
      </w:r>
    </w:p>
    <w:p>
      <w:pPr>
        <w:pStyle w:val="ListParagraph"/>
        <w:widowControl w:val="false"/>
        <w:numPr>
          <w:ilvl w:val="0"/>
          <w:numId w:val="7"/>
        </w:numPr>
        <w:suppressAutoHyphens w:val="true"/>
        <w:ind w:left="540" w:hanging="360"/>
        <w:jc w:val="both"/>
        <w:rPr>
          <w:rFonts w:ascii="Arial" w:hAnsi="Arial" w:cs="Arial"/>
          <w:sz w:val="24"/>
          <w:szCs w:val="24"/>
        </w:rPr>
      </w:pPr>
      <w:r>
        <w:rPr>
          <w:rStyle w:val="Bodytext"/>
          <w:rFonts w:eastAsia="Calibri" w:cs="Arial" w:ascii="Arial" w:hAnsi="Arial" w:eastAsiaTheme="minorHAnsi"/>
          <w:sz w:val="24"/>
          <w:szCs w:val="24"/>
        </w:rPr>
        <w:t>considerentele ce justifică orice schemă de bonusuri anuale sau avantaje nebănești;</w:t>
      </w:r>
    </w:p>
    <w:p>
      <w:pPr>
        <w:pStyle w:val="ListParagraph"/>
        <w:widowControl w:val="false"/>
        <w:numPr>
          <w:ilvl w:val="0"/>
          <w:numId w:val="7"/>
        </w:numPr>
        <w:suppressAutoHyphens w:val="true"/>
        <w:ind w:left="540" w:hanging="360"/>
        <w:jc w:val="both"/>
        <w:rPr>
          <w:rFonts w:ascii="Arial" w:hAnsi="Arial" w:cs="Arial"/>
          <w:sz w:val="24"/>
          <w:szCs w:val="24"/>
        </w:rPr>
      </w:pPr>
      <w:r>
        <w:rPr>
          <w:rStyle w:val="Bodytext"/>
          <w:rFonts w:eastAsia="Calibri" w:cs="Arial" w:ascii="Arial" w:hAnsi="Arial" w:eastAsiaTheme="minorHAnsi"/>
          <w:sz w:val="24"/>
          <w:szCs w:val="24"/>
        </w:rPr>
        <w:t>eventualele scheme de pensii suplimentare sau anticipate;</w:t>
      </w:r>
    </w:p>
    <w:p>
      <w:pPr>
        <w:pStyle w:val="ListParagraph"/>
        <w:widowControl w:val="false"/>
        <w:numPr>
          <w:ilvl w:val="0"/>
          <w:numId w:val="7"/>
        </w:numPr>
        <w:suppressAutoHyphens w:val="true"/>
        <w:ind w:left="540" w:hanging="360"/>
        <w:jc w:val="both"/>
        <w:rPr>
          <w:rFonts w:ascii="Arial" w:hAnsi="Arial" w:cs="Arial"/>
          <w:sz w:val="24"/>
          <w:szCs w:val="24"/>
        </w:rPr>
      </w:pPr>
      <w:r>
        <w:rPr>
          <w:rStyle w:val="Bodytext"/>
          <w:rFonts w:eastAsia="Calibri" w:cs="Arial" w:ascii="Arial" w:hAnsi="Arial" w:eastAsiaTheme="minorHAnsi"/>
          <w:sz w:val="24"/>
          <w:szCs w:val="24"/>
        </w:rPr>
        <w:t>informații privind durata contractului, perioada de preaviz negociată, cuantumul daunelor-interese pentru revocare fără justă cauză.</w:t>
      </w:r>
    </w:p>
    <w:p>
      <w:pPr>
        <w:pStyle w:val="Normal"/>
        <w:jc w:val="both"/>
        <w:rPr>
          <w:rStyle w:val="Bodytext"/>
          <w:rFonts w:ascii="Arial" w:hAnsi="Arial" w:eastAsia="Calibri" w:cs="Arial" w:eastAsiaTheme="minorHAnsi"/>
          <w:sz w:val="24"/>
          <w:szCs w:val="24"/>
        </w:rPr>
      </w:pPr>
      <w:r>
        <w:rPr>
          <w:rStyle w:val="Bodytext"/>
          <w:rFonts w:eastAsia="Calibri" w:cs="Arial" w:ascii="Arial" w:hAnsi="Arial" w:eastAsiaTheme="minorHAnsi"/>
          <w:iCs/>
          <w:sz w:val="24"/>
          <w:szCs w:val="24"/>
        </w:rPr>
        <w:t>Consiliul de administrație elaborează un raport anual</w:t>
      </w:r>
      <w:r>
        <w:rPr>
          <w:rStyle w:val="Bodytext"/>
          <w:rFonts w:eastAsia="Calibri" w:cs="Arial" w:ascii="Arial" w:hAnsi="Arial" w:eastAsiaTheme="minorHAnsi"/>
          <w:sz w:val="24"/>
          <w:szCs w:val="24"/>
        </w:rPr>
        <w:t xml:space="preserve"> privind activitatea întreprinderii publice, nu mai târziu de data de 31 mai a anului următor celui cu privire la care se raportează. Raportul se publică pe pagina de internet a societății.</w:t>
      </w:r>
    </w:p>
    <w:p>
      <w:pPr>
        <w:pStyle w:val="Normal"/>
        <w:jc w:val="both"/>
        <w:rPr>
          <w:rFonts w:ascii="Arial" w:hAnsi="Arial" w:cs="Arial"/>
          <w:sz w:val="24"/>
          <w:szCs w:val="24"/>
        </w:rPr>
      </w:pPr>
      <w:r>
        <w:rPr>
          <w:rStyle w:val="Bodytext"/>
          <w:rFonts w:eastAsia="Calibri" w:cs="Arial" w:ascii="Arial" w:hAnsi="Arial" w:eastAsiaTheme="minorHAnsi"/>
          <w:sz w:val="24"/>
          <w:szCs w:val="24"/>
        </w:rPr>
        <w:t>Consiliul de administrație sau Directorul General, în cazul în care conducerea executivă este exercitată de directori, are obligația să transmită AMEPIP și, după caz, autorității publice tutelare semestrial și ori de câte ori se solicită, fundamentări, analize, situații, raportări și orice alte informații referitoare la activitatea societății, în formatul și la termenele stabilite prin ordine sau circulare ale beneficiarilor.</w:t>
      </w:r>
    </w:p>
    <w:p>
      <w:pPr>
        <w:pStyle w:val="Normal"/>
        <w:jc w:val="both"/>
        <w:rPr>
          <w:rStyle w:val="Bodytext"/>
          <w:rFonts w:ascii="Arial" w:hAnsi="Arial" w:eastAsia="Calibri" w:cs="Arial" w:eastAsiaTheme="minorHAnsi"/>
          <w:iCs/>
          <w:sz w:val="24"/>
          <w:szCs w:val="24"/>
        </w:rPr>
      </w:pPr>
      <w:r>
        <w:rPr>
          <w:rStyle w:val="Bodytext"/>
          <w:rFonts w:eastAsia="Calibri" w:cs="Arial" w:ascii="Arial" w:hAnsi="Arial" w:eastAsiaTheme="minorHAnsi"/>
          <w:sz w:val="24"/>
          <w:szCs w:val="24"/>
        </w:rPr>
        <w:t xml:space="preserve">Societatea va prezenta autorității tutelare, compartimentului Guvernanță Corporativă și AMEPIP, nu mai târziu de data de 31 mai a anului următor celui cu privire la care se raportează, un </w:t>
      </w:r>
      <w:r>
        <w:rPr>
          <w:rStyle w:val="Bodytext"/>
          <w:rFonts w:eastAsia="Calibri" w:cs="Arial" w:ascii="Arial" w:hAnsi="Arial" w:eastAsiaTheme="minorHAnsi"/>
          <w:iCs/>
          <w:sz w:val="24"/>
          <w:szCs w:val="24"/>
        </w:rPr>
        <w:t>raport care include stadiul îndeplinirii obiectivelor sale în materie de guvernanță și transparență, precum și stadiul îndeplinirii indicatorilor financiari și nefinanciari asumați.</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 xml:space="preserve">6.6 Așteptări în ceeea ce privește politica de dividende / vărsăminte din profitul net al societății </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p>
      <w:pPr>
        <w:pStyle w:val="TextBody"/>
        <w:spacing w:before="0" w:after="120"/>
        <w:jc w:val="both"/>
        <w:rPr>
          <w:rFonts w:ascii="Arial" w:hAnsi="Arial" w:cs="Arial"/>
          <w:sz w:val="24"/>
          <w:szCs w:val="24"/>
          <w:lang w:val="ro-RO"/>
        </w:rPr>
      </w:pPr>
      <w:r>
        <w:rPr>
          <w:rStyle w:val="Bodytext"/>
          <w:rFonts w:eastAsia="" w:cs="Arial" w:ascii="Arial" w:hAnsi="Arial" w:eastAsiaTheme="majorEastAsia"/>
          <w:sz w:val="24"/>
          <w:szCs w:val="24"/>
          <w:lang w:val="ro-RO" w:bidi="en-US"/>
        </w:rPr>
        <w:t xml:space="preserve">Conform </w:t>
      </w:r>
      <w:r>
        <w:rPr>
          <w:rStyle w:val="Bodytext"/>
          <w:rFonts w:eastAsia="" w:cs="Arial" w:ascii="Arial" w:hAnsi="Arial" w:eastAsiaTheme="majorEastAsia"/>
          <w:sz w:val="24"/>
          <w:szCs w:val="24"/>
          <w:lang w:val="ro-RO"/>
        </w:rPr>
        <w:t xml:space="preserve">dispozițiilor </w:t>
      </w:r>
      <w:r>
        <w:rPr>
          <w:rStyle w:val="Bodytext"/>
          <w:rFonts w:eastAsia="" w:cs="Arial" w:ascii="Arial" w:hAnsi="Arial" w:eastAsiaTheme="majorEastAsia"/>
          <w:sz w:val="24"/>
          <w:szCs w:val="24"/>
          <w:lang w:val="ro-RO" w:bidi="en-US"/>
        </w:rPr>
        <w:t xml:space="preserve">O.G. nr. 64/2001, cu </w:t>
      </w:r>
      <w:r>
        <w:rPr>
          <w:rStyle w:val="Bodytext"/>
          <w:rFonts w:eastAsia="" w:cs="Arial" w:ascii="Arial" w:hAnsi="Arial" w:eastAsiaTheme="majorEastAsia"/>
          <w:sz w:val="24"/>
          <w:szCs w:val="24"/>
          <w:lang w:val="ro-RO"/>
        </w:rPr>
        <w:t xml:space="preserve">modificările și completările </w:t>
      </w:r>
      <w:r>
        <w:rPr>
          <w:rStyle w:val="Bodytext"/>
          <w:rFonts w:eastAsia="" w:cs="Arial" w:ascii="Arial" w:hAnsi="Arial" w:eastAsiaTheme="majorEastAsia"/>
          <w:sz w:val="24"/>
          <w:szCs w:val="24"/>
          <w:lang w:val="ro-RO" w:bidi="en-US"/>
        </w:rPr>
        <w:t xml:space="preserve">ulterioare, profitul contabil </w:t>
      </w:r>
      <w:r>
        <w:rPr>
          <w:rStyle w:val="Bodytext"/>
          <w:rFonts w:eastAsia="" w:cs="Arial" w:ascii="Arial" w:hAnsi="Arial" w:eastAsiaTheme="majorEastAsia"/>
          <w:sz w:val="24"/>
          <w:szCs w:val="24"/>
          <w:lang w:val="ro-RO"/>
        </w:rPr>
        <w:t xml:space="preserve">rămas după </w:t>
      </w:r>
      <w:r>
        <w:rPr>
          <w:rStyle w:val="Bodytext"/>
          <w:rFonts w:eastAsia="" w:cs="Arial" w:ascii="Arial" w:hAnsi="Arial" w:eastAsiaTheme="majorEastAsia"/>
          <w:sz w:val="24"/>
          <w:szCs w:val="24"/>
          <w:lang w:val="ro-RO" w:bidi="en-US"/>
        </w:rPr>
        <w:t xml:space="preserve">deducerea impozitului pe profit se </w:t>
      </w:r>
      <w:r>
        <w:rPr>
          <w:rStyle w:val="Bodytext"/>
          <w:rFonts w:eastAsia="" w:cs="Arial" w:ascii="Arial" w:hAnsi="Arial" w:eastAsiaTheme="majorEastAsia"/>
          <w:sz w:val="24"/>
          <w:szCs w:val="24"/>
          <w:lang w:val="ro-RO"/>
        </w:rPr>
        <w:t xml:space="preserve">repartizează </w:t>
      </w:r>
      <w:r>
        <w:rPr>
          <w:rStyle w:val="Bodytext"/>
          <w:rFonts w:eastAsia="" w:cs="Arial" w:ascii="Arial" w:hAnsi="Arial" w:eastAsiaTheme="majorEastAsia"/>
          <w:sz w:val="24"/>
          <w:szCs w:val="24"/>
          <w:lang w:val="ro-RO" w:bidi="en-US"/>
        </w:rPr>
        <w:t xml:space="preserve">pe </w:t>
      </w:r>
      <w:r>
        <w:rPr>
          <w:rStyle w:val="Bodytext"/>
          <w:rFonts w:eastAsia="" w:cs="Arial" w:ascii="Arial" w:hAnsi="Arial" w:eastAsiaTheme="majorEastAsia"/>
          <w:sz w:val="24"/>
          <w:szCs w:val="24"/>
          <w:lang w:val="ro-RO"/>
        </w:rPr>
        <w:t>următoarele destinații, dacă prin legi speciale nu se prevede altfel:</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rezerve legale;</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alte rezerve reprezentând facilități fiscale prevăzute de lege;</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acoperirea pierderilor contabile din anii precedenți;</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alte repartizări prevăzute de lege;</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participarea salariaților la profit;</w:t>
      </w:r>
    </w:p>
    <w:p>
      <w:pPr>
        <w:pStyle w:val="TextBody"/>
        <w:numPr>
          <w:ilvl w:val="0"/>
          <w:numId w:val="6"/>
        </w:numPr>
        <w:spacing w:before="0" w:after="120"/>
        <w:ind w:left="540" w:hanging="360"/>
        <w:jc w:val="both"/>
        <w:rPr>
          <w:rFonts w:ascii="Arial" w:hAnsi="Arial" w:cs="Arial"/>
          <w:sz w:val="24"/>
          <w:szCs w:val="24"/>
          <w:lang w:val="ro-RO"/>
        </w:rPr>
      </w:pPr>
      <w:r>
        <w:rPr>
          <w:rStyle w:val="Bodytext"/>
          <w:rFonts w:eastAsia="" w:cs="Arial" w:ascii="Arial" w:hAnsi="Arial" w:eastAsiaTheme="majorEastAsia"/>
          <w:sz w:val="24"/>
          <w:szCs w:val="24"/>
          <w:lang w:val="ro-RO"/>
        </w:rPr>
        <w:t>minimum 50% vărsăminte la bugetul local ori dividende;</w:t>
      </w:r>
    </w:p>
    <w:p>
      <w:pPr>
        <w:pStyle w:val="TextBody"/>
        <w:numPr>
          <w:ilvl w:val="0"/>
          <w:numId w:val="6"/>
        </w:numPr>
        <w:spacing w:before="0" w:after="120"/>
        <w:ind w:left="540" w:hanging="360"/>
        <w:jc w:val="both"/>
        <w:rPr>
          <w:rStyle w:val="Bodytext"/>
          <w:rFonts w:ascii="Arial" w:hAnsi="Arial" w:cs="Arial"/>
          <w:sz w:val="24"/>
          <w:szCs w:val="24"/>
          <w:lang w:val="ro-RO"/>
        </w:rPr>
      </w:pPr>
      <w:r>
        <w:rPr>
          <w:rStyle w:val="Bodytext"/>
          <w:rFonts w:eastAsia="" w:cs="Arial" w:ascii="Arial" w:hAnsi="Arial" w:eastAsiaTheme="majorEastAsia"/>
          <w:sz w:val="24"/>
          <w:szCs w:val="24"/>
          <w:lang w:val="ro-RO"/>
        </w:rPr>
        <w:t>profitul nerepartizat se repartizează la alte rezerve și constituie sursă proprie de finanțare.</w:t>
      </w:r>
      <w:bookmarkStart w:id="32" w:name="bookmark14"/>
      <w:bookmarkEnd w:id="32"/>
    </w:p>
    <w:p>
      <w:pPr>
        <w:pStyle w:val="TextBody"/>
        <w:spacing w:lineRule="auto" w:line="240" w:before="0" w:after="0"/>
        <w:ind w:left="540" w:hanging="0"/>
        <w:jc w:val="both"/>
        <w:rPr>
          <w:rFonts w:ascii="Arial" w:hAnsi="Arial" w:cs="Arial"/>
          <w:sz w:val="24"/>
          <w:szCs w:val="24"/>
          <w:lang w:val="ro-RO"/>
        </w:rPr>
      </w:pPr>
      <w:r>
        <w:rPr>
          <w:rFonts w:cs="Arial" w:ascii="Arial" w:hAnsi="Arial"/>
          <w:sz w:val="24"/>
          <w:szCs w:val="24"/>
          <w:lang w:val="ro-RO"/>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Implementarea unui sistem eficient și fiabil de guvernanță corporativă</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Financiar privind politica de dividende</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Monitorizarea și raportarea lunară a valorilor actuale  ale indicatorilor cheie de performanță, în raport cu valorile prognozate</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2025</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de plată a dividendelor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50%</w:t>
            </w:r>
          </w:p>
        </w:tc>
      </w:tr>
    </w:tbl>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6.7 Așteptări în domeniul eticii, integrității și guvernanței corporative</w:t>
      </w:r>
    </w:p>
    <w:p>
      <w:pPr>
        <w:pStyle w:val="Normal"/>
        <w:jc w:val="both"/>
        <w:rPr>
          <w:rFonts w:ascii="Arial" w:hAnsi="Arial" w:cs="Arial"/>
          <w:b/>
          <w:b/>
          <w:bCs/>
          <w:sz w:val="24"/>
          <w:szCs w:val="24"/>
        </w:rPr>
      </w:pPr>
      <w:r>
        <w:rPr>
          <w:rFonts w:cs="Arial" w:ascii="Arial" w:hAnsi="Arial"/>
          <w:b/>
          <w:bCs/>
          <w:sz w:val="24"/>
          <w:szCs w:val="24"/>
        </w:rPr>
      </w:r>
    </w:p>
    <w:p>
      <w:pPr>
        <w:pStyle w:val="Normal"/>
        <w:jc w:val="both"/>
        <w:rPr>
          <w:rStyle w:val="Bodytext"/>
          <w:rFonts w:ascii="Arial" w:hAnsi="Arial" w:eastAsia="Calibri" w:cs="Arial" w:eastAsiaTheme="minorHAnsi"/>
          <w:sz w:val="24"/>
          <w:szCs w:val="24"/>
        </w:rPr>
      </w:pPr>
      <w:r>
        <w:rPr>
          <w:rFonts w:cs="Arial" w:ascii="Arial" w:hAnsi="Arial"/>
          <w:bCs/>
          <w:sz w:val="24"/>
          <w:szCs w:val="24"/>
        </w:rPr>
        <w:t>Etica și integritatea</w:t>
      </w:r>
      <w:r>
        <w:rPr>
          <w:rFonts w:cs="Arial" w:ascii="Arial" w:hAnsi="Arial"/>
          <w:sz w:val="24"/>
          <w:szCs w:val="24"/>
        </w:rPr>
        <w:t xml:space="preserve"> trebuie să devină valori centrale ale întreprinderilor publice-societăți. Unul dintre pilonii pe care se bazează politica privind gestionarea participațiilor statului în economie îl reprezintă integritatea.</w:t>
      </w:r>
    </w:p>
    <w:p>
      <w:pPr>
        <w:pStyle w:val="Normal"/>
        <w:jc w:val="both"/>
        <w:rPr>
          <w:rStyle w:val="Bodytext"/>
          <w:rFonts w:ascii="Arial" w:hAnsi="Arial" w:eastAsia="Calibri" w:cs="Arial" w:eastAsiaTheme="minorHAnsi"/>
          <w:sz w:val="24"/>
          <w:szCs w:val="24"/>
        </w:rPr>
      </w:pPr>
      <w:r>
        <w:rPr>
          <w:rFonts w:cs="Arial" w:ascii="Arial" w:hAnsi="Arial"/>
          <w:iCs/>
          <w:sz w:val="24"/>
          <w:szCs w:val="24"/>
        </w:rPr>
        <w:t>În acest sens, societatea, prin grija consiliului de administrație, va elabora, actualiza periodic și implementa un</w:t>
      </w:r>
      <w:r>
        <w:rPr>
          <w:rFonts w:cs="Arial" w:ascii="Arial" w:hAnsi="Arial"/>
          <w:sz w:val="24"/>
          <w:szCs w:val="24"/>
        </w:rPr>
        <w:t xml:space="preserve"> </w:t>
      </w:r>
      <w:r>
        <w:rPr>
          <w:rFonts w:cs="Arial" w:ascii="Arial" w:hAnsi="Arial"/>
          <w:bCs/>
          <w:iCs/>
          <w:sz w:val="24"/>
          <w:szCs w:val="24"/>
        </w:rPr>
        <w:t>Cod de etică</w:t>
      </w:r>
      <w:r>
        <w:rPr>
          <w:rFonts w:cs="Arial" w:ascii="Arial" w:hAnsi="Arial"/>
          <w:bCs/>
          <w:sz w:val="24"/>
          <w:szCs w:val="24"/>
        </w:rPr>
        <w:t>.</w:t>
      </w:r>
      <w:r>
        <w:rPr>
          <w:rFonts w:cs="Arial" w:ascii="Arial" w:hAnsi="Arial"/>
          <w:sz w:val="24"/>
          <w:szCs w:val="24"/>
        </w:rPr>
        <w:t xml:space="preserve"> Acesta va fi însușit de către toți angajații și de către consiliul de administrare, va fi aplicabil atât angajaților, cât și membrilor din consiliul de administrație și va fi disponibil pe pagina de internet a societății.</w:t>
      </w:r>
    </w:p>
    <w:p>
      <w:pPr>
        <w:pStyle w:val="Normal"/>
        <w:jc w:val="both"/>
        <w:rPr>
          <w:rStyle w:val="Bodytext"/>
          <w:rFonts w:ascii="Arial" w:hAnsi="Arial" w:eastAsia="Calibri" w:cs="Arial" w:eastAsiaTheme="minorHAnsi"/>
          <w:bCs/>
          <w:iCs/>
          <w:sz w:val="24"/>
          <w:szCs w:val="24"/>
        </w:rPr>
      </w:pPr>
      <w:r>
        <w:rPr>
          <w:rFonts w:cs="Arial" w:ascii="Arial" w:hAnsi="Arial"/>
          <w:bCs/>
          <w:iCs/>
          <w:sz w:val="24"/>
          <w:szCs w:val="24"/>
        </w:rPr>
        <w:t>Scopul unui cod de etică este să demonstreze angajamentul societății față de cele mai înalte standarde etice și de responsabilitate, sa încurajeze comportamentul etic din partea angajaților și conducerii, precum și sa contribuie la dezvoltarea unei culturi organizaționale bazate pe standarde etice.</w:t>
      </w:r>
    </w:p>
    <w:p>
      <w:pPr>
        <w:pStyle w:val="Normal"/>
        <w:jc w:val="both"/>
        <w:rPr>
          <w:rStyle w:val="Bodytext"/>
          <w:rFonts w:ascii="Arial" w:hAnsi="Arial" w:eastAsia="Calibri" w:cs="Arial" w:eastAsiaTheme="minorHAnsi"/>
          <w:sz w:val="24"/>
          <w:szCs w:val="24"/>
        </w:rPr>
      </w:pPr>
      <w:r>
        <w:rPr>
          <w:rFonts w:cs="Arial" w:ascii="Arial" w:hAnsi="Arial"/>
          <w:sz w:val="24"/>
          <w:szCs w:val="24"/>
        </w:rPr>
        <w:t>Standardele enunțate în codul de etică se vor baza pe respectarea legii și legislației în vigoare, pe conducerea financiară și operaționala a societății în sensul maximizării valorii acesteia.</w:t>
      </w:r>
    </w:p>
    <w:p>
      <w:pPr>
        <w:pStyle w:val="Normal"/>
        <w:jc w:val="both"/>
        <w:rPr>
          <w:rStyle w:val="Bodytext"/>
          <w:rFonts w:ascii="Arial" w:hAnsi="Arial" w:eastAsia="Calibri" w:cs="Arial" w:eastAsiaTheme="minorHAnsi"/>
          <w:sz w:val="24"/>
          <w:szCs w:val="24"/>
        </w:rPr>
      </w:pPr>
      <w:r>
        <w:rPr>
          <w:rFonts w:cs="Arial" w:ascii="Arial" w:hAnsi="Arial"/>
          <w:sz w:val="24"/>
          <w:szCs w:val="24"/>
        </w:rPr>
        <w:t>Codul etic al societății va acorda de asemenea importanța reglementărilor privitoare la respectarea drepturilor omului și demnității persoanei, făcând referire la imperativul non-discriminării la locul de muncă pe criterii de rasă, gen, credință, orientare sexuală, etc.</w:t>
      </w:r>
    </w:p>
    <w:p>
      <w:pPr>
        <w:pStyle w:val="Normal"/>
        <w:jc w:val="both"/>
        <w:rPr>
          <w:rStyle w:val="Bodytext"/>
          <w:rFonts w:ascii="Arial" w:hAnsi="Arial" w:eastAsia="Calibri" w:cs="Arial" w:eastAsiaTheme="minorHAnsi"/>
          <w:sz w:val="24"/>
          <w:szCs w:val="24"/>
        </w:rPr>
      </w:pPr>
      <w:r>
        <w:rPr>
          <w:rFonts w:cs="Arial" w:ascii="Arial" w:hAnsi="Arial"/>
          <w:iCs/>
          <w:sz w:val="24"/>
          <w:szCs w:val="24"/>
        </w:rPr>
        <w:t>Contractarea de servicii de către societate, angajarea de persoane, acordarea de sponsorizări și încheierea de parteneriate de orice natură se vor face exclusiv într-o manieră profesională și transparentă, ținând cont de meritele candidaților și de principiul controlului costurilor.</w:t>
      </w:r>
    </w:p>
    <w:p>
      <w:pPr>
        <w:pStyle w:val="Normal"/>
        <w:jc w:val="both"/>
        <w:rPr>
          <w:rStyle w:val="Bodytext"/>
          <w:rFonts w:ascii="Arial" w:hAnsi="Arial" w:eastAsia="Calibri" w:cs="Arial" w:eastAsiaTheme="minorHAnsi"/>
          <w:sz w:val="24"/>
          <w:szCs w:val="24"/>
        </w:rPr>
      </w:pPr>
      <w:r>
        <w:rPr>
          <w:rFonts w:cs="Arial" w:ascii="Arial" w:hAnsi="Arial"/>
          <w:bCs/>
          <w:iCs/>
          <w:sz w:val="24"/>
          <w:szCs w:val="24"/>
        </w:rPr>
        <w:t>Codul de etică va preciza ce constituie conflict de interese pentru societate.</w:t>
      </w:r>
    </w:p>
    <w:p>
      <w:pPr>
        <w:pStyle w:val="Normal"/>
        <w:jc w:val="both"/>
        <w:rPr>
          <w:rStyle w:val="Bodytext"/>
          <w:rFonts w:ascii="Arial" w:hAnsi="Arial" w:eastAsia="Calibri" w:cs="Arial" w:eastAsiaTheme="minorHAnsi"/>
          <w:sz w:val="24"/>
          <w:szCs w:val="24"/>
        </w:rPr>
      </w:pPr>
      <w:r>
        <w:rPr>
          <w:rFonts w:cs="Arial" w:ascii="Arial" w:hAnsi="Arial"/>
          <w:bCs/>
          <w:sz w:val="24"/>
          <w:szCs w:val="24"/>
        </w:rPr>
        <w:t>Tranzacțiile cu părțile afiliate</w:t>
      </w:r>
      <w:r>
        <w:rPr>
          <w:rFonts w:cs="Arial" w:ascii="Arial" w:hAnsi="Arial"/>
          <w:sz w:val="24"/>
          <w:szCs w:val="24"/>
        </w:rPr>
        <w:t xml:space="preserve"> reprezintă un aspect important ce ține de etica întreprinderii publice, iar, conform definiției, o astfel de tranzacție este una în care o parte cu influență asupra tranzacției are un conflict de interese în tranzacția în cauză. Societatea va adopta reglementari interne cu privire la tranzacțiile cu părțile afiliate iar acestea vor fi raportate în raportul anul al societății, iar comitetul de audit al consiliului va evalua anual cât de adecvată la realitățile societății este politica privind tranzacțiile cu părțile afiliate.</w:t>
      </w:r>
    </w:p>
    <w:p>
      <w:pPr>
        <w:pStyle w:val="Normal"/>
        <w:jc w:val="both"/>
        <w:rPr>
          <w:rStyle w:val="Bodytext"/>
          <w:rFonts w:ascii="Arial" w:hAnsi="Arial" w:eastAsia="Calibri" w:cs="Arial" w:eastAsiaTheme="minorHAnsi"/>
          <w:sz w:val="24"/>
          <w:szCs w:val="24"/>
        </w:rPr>
      </w:pPr>
      <w:r>
        <w:rPr>
          <w:rFonts w:cs="Arial" w:ascii="Arial" w:hAnsi="Arial"/>
          <w:sz w:val="24"/>
          <w:szCs w:val="24"/>
        </w:rPr>
        <w:t>Codul de etică va cuprinde inclusiv prevederi cu privire la primirea și oferirea de cadouri, invitații și alte foloase. Bunurile de protocol, a căror primire sau oferire poate fi permisă, vor fi supuse unor reglementări interne cu privire la valoare și raportare.</w:t>
      </w:r>
    </w:p>
    <w:p>
      <w:pPr>
        <w:pStyle w:val="Normal"/>
        <w:jc w:val="both"/>
        <w:rPr>
          <w:rStyle w:val="Bodytext"/>
          <w:rFonts w:ascii="Arial" w:hAnsi="Arial" w:eastAsia="Calibri" w:cs="Arial" w:eastAsiaTheme="minorHAnsi"/>
          <w:sz w:val="24"/>
          <w:szCs w:val="24"/>
        </w:rPr>
      </w:pPr>
      <w:r>
        <w:rPr>
          <w:rFonts w:cs="Arial" w:ascii="Arial" w:hAnsi="Arial"/>
          <w:bCs/>
          <w:iCs/>
          <w:sz w:val="24"/>
          <w:szCs w:val="24"/>
        </w:rPr>
        <w:t xml:space="preserve">Codul de conduită </w:t>
      </w:r>
      <w:r>
        <w:rPr>
          <w:rFonts w:cs="Arial" w:ascii="Arial" w:hAnsi="Arial"/>
          <w:sz w:val="24"/>
          <w:szCs w:val="24"/>
        </w:rPr>
        <w:t>care se aplică angajaților societății, înrudit cu documentul reprezentat de Codul de etică, a cărui elaborare intră în responsabilitatea consiliului de administrație va fi elaborat de departamentul Resurse Umane al societății iar în el se vor enunța reguli vizavi de folosirea bunurilor societății de către angajați (ex: automobile, calculatoare, telefoane mobile, birotică și papetărie,etc), programul de lucru, de respectare a procedurilor interne, precum și a normelor de sănătate, siguranța la locul de muncă și protecția a mediului.</w:t>
      </w:r>
    </w:p>
    <w:p>
      <w:pPr>
        <w:pStyle w:val="Normal"/>
        <w:jc w:val="both"/>
        <w:rPr>
          <w:rStyle w:val="Bodytext"/>
          <w:rFonts w:ascii="Arial" w:hAnsi="Arial" w:eastAsia="Calibri" w:cs="Arial" w:eastAsiaTheme="minorHAnsi"/>
          <w:sz w:val="24"/>
          <w:szCs w:val="24"/>
        </w:rPr>
      </w:pPr>
      <w:r>
        <w:rPr>
          <w:rFonts w:cs="Arial" w:ascii="Arial" w:hAnsi="Arial"/>
          <w:sz w:val="24"/>
          <w:szCs w:val="24"/>
        </w:rPr>
        <w:t>Respectarea legislației în vigoare, precum și a tuturor documentelor de politici cu privire la guvernanță corporativă a întreprinderii publice, coduri, norme, reglementari interne va fi obligatorie pentru angajați, conducere și reprezentanți ai autorității tutelare.</w:t>
      </w:r>
    </w:p>
    <w:p>
      <w:pPr>
        <w:pStyle w:val="Normal"/>
        <w:jc w:val="both"/>
        <w:rPr>
          <w:rStyle w:val="Bodytext"/>
          <w:rFonts w:ascii="Arial" w:hAnsi="Arial" w:eastAsia="Calibri" w:cs="Arial" w:eastAsiaTheme="minorHAnsi"/>
          <w:sz w:val="24"/>
          <w:szCs w:val="24"/>
        </w:rPr>
      </w:pPr>
      <w:r>
        <w:rPr>
          <w:rFonts w:cs="Arial" w:ascii="Arial" w:hAnsi="Arial"/>
          <w:sz w:val="24"/>
          <w:szCs w:val="24"/>
        </w:rPr>
        <w:t>Protejarea proprietății, drepturilor, intereselor, reputației, responsabilității și informațiilor confidențiale ale întreprinderii publice este obligatorie.</w:t>
      </w:r>
    </w:p>
    <w:p>
      <w:pPr>
        <w:pStyle w:val="Normal"/>
        <w:jc w:val="both"/>
        <w:rPr>
          <w:rStyle w:val="Bodytext"/>
          <w:rFonts w:ascii="Arial" w:hAnsi="Arial" w:eastAsia="Calibri" w:cs="Arial" w:eastAsiaTheme="minorHAnsi"/>
          <w:sz w:val="24"/>
          <w:szCs w:val="24"/>
        </w:rPr>
      </w:pPr>
      <w:r>
        <w:rPr>
          <w:rFonts w:cs="Arial" w:ascii="Arial" w:hAnsi="Arial"/>
          <w:bCs/>
          <w:iCs/>
          <w:sz w:val="24"/>
          <w:szCs w:val="24"/>
        </w:rPr>
        <w:t>Cele cinci principii care stau la baza unui program de înaltă calitate privind etica și conformare, la nivelul întreprinderii publice, sunt:</w:t>
      </w:r>
    </w:p>
    <w:p>
      <w:pPr>
        <w:pStyle w:val="Normal"/>
        <w:widowControl w:val="false"/>
        <w:suppressAutoHyphens w:val="true"/>
        <w:ind w:left="360" w:hanging="0"/>
        <w:jc w:val="both"/>
        <w:rPr>
          <w:rStyle w:val="Bodytext"/>
          <w:rFonts w:ascii="Arial" w:hAnsi="Arial" w:eastAsia="Calibri" w:cs="Arial" w:eastAsiaTheme="minorHAnsi"/>
          <w:sz w:val="24"/>
          <w:szCs w:val="24"/>
        </w:rPr>
      </w:pPr>
      <w:r>
        <w:rPr>
          <w:rFonts w:cs="Arial" w:ascii="Arial" w:hAnsi="Arial"/>
          <w:sz w:val="24"/>
          <w:szCs w:val="24"/>
        </w:rPr>
        <w:t>1. Etica și conformarea sunt primordiale pentru strategia de afacerii.</w:t>
      </w:r>
    </w:p>
    <w:p>
      <w:pPr>
        <w:pStyle w:val="Normal"/>
        <w:widowControl w:val="false"/>
        <w:suppressAutoHyphens w:val="true"/>
        <w:ind w:left="360" w:hanging="0"/>
        <w:jc w:val="both"/>
        <w:rPr>
          <w:rStyle w:val="Bodytext"/>
          <w:rFonts w:ascii="Arial" w:hAnsi="Arial" w:eastAsia="Calibri" w:cs="Arial" w:eastAsiaTheme="minorHAnsi"/>
          <w:sz w:val="24"/>
          <w:szCs w:val="24"/>
        </w:rPr>
      </w:pPr>
      <w:r>
        <w:rPr>
          <w:rFonts w:cs="Arial" w:ascii="Arial" w:hAnsi="Arial"/>
          <w:sz w:val="24"/>
          <w:szCs w:val="24"/>
        </w:rPr>
        <w:t>2. Riscurile etice și de conformare sunt identificate, gestionate și atenuate.</w:t>
      </w:r>
    </w:p>
    <w:p>
      <w:pPr>
        <w:pStyle w:val="Normal"/>
        <w:widowControl w:val="false"/>
        <w:suppressAutoHyphens w:val="true"/>
        <w:ind w:left="360" w:hanging="0"/>
        <w:jc w:val="both"/>
        <w:rPr>
          <w:rStyle w:val="Bodytext"/>
          <w:rFonts w:ascii="Arial" w:hAnsi="Arial" w:eastAsia="Calibri" w:cs="Arial" w:eastAsiaTheme="minorHAnsi"/>
          <w:sz w:val="24"/>
          <w:szCs w:val="24"/>
        </w:rPr>
      </w:pPr>
      <w:r>
        <w:rPr>
          <w:rFonts w:cs="Arial" w:ascii="Arial" w:hAnsi="Arial"/>
          <w:sz w:val="24"/>
          <w:szCs w:val="24"/>
        </w:rPr>
        <w:t>3. Liderii la toate nivelurile din organizație construiesc și susțin o cultura a integrității.</w:t>
      </w:r>
    </w:p>
    <w:p>
      <w:pPr>
        <w:pStyle w:val="Normal"/>
        <w:widowControl w:val="false"/>
        <w:suppressAutoHyphens w:val="true"/>
        <w:ind w:left="360" w:hanging="0"/>
        <w:jc w:val="both"/>
        <w:rPr>
          <w:rStyle w:val="Bodytext"/>
          <w:rFonts w:ascii="Arial" w:hAnsi="Arial" w:eastAsia="Calibri" w:cs="Arial" w:eastAsiaTheme="minorHAnsi"/>
          <w:sz w:val="24"/>
          <w:szCs w:val="24"/>
        </w:rPr>
      </w:pPr>
      <w:r>
        <w:rPr>
          <w:rFonts w:cs="Arial" w:ascii="Arial" w:hAnsi="Arial"/>
          <w:sz w:val="24"/>
          <w:szCs w:val="24"/>
        </w:rPr>
        <w:t>4. Organizația încurajează, protejează și pune accent pe raportarea suspiciunilor de fraudă.</w:t>
      </w:r>
    </w:p>
    <w:p>
      <w:pPr>
        <w:pStyle w:val="Normal"/>
        <w:widowControl w:val="false"/>
        <w:suppressAutoHyphens w:val="true"/>
        <w:ind w:left="360" w:hanging="0"/>
        <w:jc w:val="both"/>
        <w:rPr>
          <w:rStyle w:val="Bodytext"/>
          <w:rFonts w:ascii="Arial" w:hAnsi="Arial" w:eastAsia="Calibri" w:cs="Arial" w:eastAsiaTheme="minorHAnsi"/>
          <w:sz w:val="24"/>
          <w:szCs w:val="24"/>
        </w:rPr>
      </w:pPr>
      <w:r>
        <w:rPr>
          <w:rFonts w:cs="Arial" w:ascii="Arial" w:hAnsi="Arial"/>
          <w:sz w:val="24"/>
          <w:szCs w:val="24"/>
        </w:rPr>
        <w:t xml:space="preserve">5. Organizația realizează acțiuni și își asumă răspunderea atunci când au loc nereguli. </w:t>
      </w:r>
    </w:p>
    <w:p>
      <w:pPr>
        <w:pStyle w:val="Normal"/>
        <w:jc w:val="both"/>
        <w:rPr>
          <w:rStyle w:val="Bodytext"/>
          <w:rFonts w:ascii="Arial" w:hAnsi="Arial" w:eastAsia="Calibri" w:cs="Arial" w:eastAsiaTheme="minorHAnsi"/>
          <w:bCs/>
          <w:iCs/>
          <w:sz w:val="24"/>
          <w:szCs w:val="24"/>
        </w:rPr>
      </w:pPr>
      <w:r>
        <w:rPr>
          <w:rFonts w:cs="Arial" w:ascii="Arial" w:hAnsi="Arial"/>
          <w:sz w:val="24"/>
          <w:szCs w:val="24"/>
        </w:rPr>
        <w:t xml:space="preserve">În cadrul societății va fi desmnat un </w:t>
      </w:r>
      <w:r>
        <w:rPr>
          <w:rFonts w:cs="Arial" w:ascii="Arial" w:hAnsi="Arial"/>
          <w:bCs/>
          <w:iCs/>
          <w:sz w:val="24"/>
          <w:szCs w:val="24"/>
        </w:rPr>
        <w:t>ofițer de conformitate pentru implementarea planurilor de integritate ca instrument managerial pentru promovarea integrității organizaționale în cadrul acesteia.</w:t>
      </w:r>
    </w:p>
    <w:p>
      <w:pPr>
        <w:pStyle w:val="Normal"/>
        <w:jc w:val="both"/>
        <w:rPr>
          <w:rStyle w:val="Bodytext"/>
          <w:rFonts w:ascii="Arial" w:hAnsi="Arial" w:eastAsia="Calibri" w:cs="Arial" w:eastAsiaTheme="minorHAnsi"/>
          <w:sz w:val="24"/>
          <w:szCs w:val="24"/>
        </w:rPr>
      </w:pPr>
      <w:r>
        <w:rPr>
          <w:rFonts w:cs="Arial" w:ascii="Arial" w:hAnsi="Arial"/>
          <w:bCs/>
          <w:iCs/>
          <w:sz w:val="24"/>
          <w:szCs w:val="24"/>
        </w:rPr>
        <w:t>Societatea, prin grija președintelui consiliului de administrație, trebuie să publice pe pagina de internet pentru accesul publicului, următoarele documente și informații:</w:t>
      </w:r>
    </w:p>
    <w:p>
      <w:pPr>
        <w:pStyle w:val="Normal"/>
        <w:jc w:val="both"/>
        <w:rPr>
          <w:rStyle w:val="Bodytext"/>
          <w:rFonts w:ascii="Arial" w:hAnsi="Arial" w:eastAsia="Calibri" w:cs="Arial" w:eastAsiaTheme="minorHAnsi"/>
          <w:sz w:val="24"/>
          <w:szCs w:val="24"/>
        </w:rPr>
      </w:pPr>
      <w:r>
        <w:rPr>
          <w:rStyle w:val="Bodytext"/>
          <w:rFonts w:eastAsia="Calibri" w:cs="Arial" w:ascii="Arial" w:hAnsi="Arial" w:eastAsiaTheme="minorHAnsi"/>
          <w:sz w:val="24"/>
          <w:szCs w:val="24"/>
        </w:rPr>
        <w:t xml:space="preserve">- </w:t>
      </w:r>
      <w:r>
        <w:rPr>
          <w:rFonts w:cs="Arial" w:ascii="Arial" w:hAnsi="Arial"/>
          <w:sz w:val="24"/>
          <w:szCs w:val="24"/>
        </w:rPr>
        <w:t>hotărârile adunărilor generale ale acţionarilor, în termen de 2 zile lucrătoare de la data adunării;</w:t>
      </w:r>
    </w:p>
    <w:p>
      <w:pPr>
        <w:pStyle w:val="Normal"/>
        <w:jc w:val="both"/>
        <w:rPr>
          <w:rFonts w:ascii="Arial" w:hAnsi="Arial" w:cs="Arial"/>
          <w:sz w:val="24"/>
          <w:szCs w:val="24"/>
        </w:rPr>
      </w:pPr>
      <w:r>
        <w:rPr>
          <w:rStyle w:val="Bodytext"/>
          <w:rFonts w:eastAsia="Calibri" w:cs="Arial" w:ascii="Arial" w:hAnsi="Arial" w:eastAsiaTheme="minorHAnsi"/>
          <w:sz w:val="24"/>
          <w:szCs w:val="24"/>
        </w:rPr>
        <w:t xml:space="preserve">- </w:t>
      </w:r>
      <w:r>
        <w:rPr>
          <w:rFonts w:cs="Arial" w:ascii="Arial" w:hAnsi="Arial"/>
          <w:sz w:val="24"/>
          <w:szCs w:val="24"/>
        </w:rPr>
        <w:t>situaţiile financiare anuale, în termen de 2 zile lucrătoare de la data aprobării;</w:t>
      </w:r>
    </w:p>
    <w:p>
      <w:pPr>
        <w:pStyle w:val="Normal"/>
        <w:jc w:val="both"/>
        <w:rPr>
          <w:rFonts w:ascii="Arial" w:hAnsi="Arial" w:cs="Arial"/>
          <w:sz w:val="24"/>
          <w:szCs w:val="24"/>
        </w:rPr>
      </w:pPr>
      <w:r>
        <w:rPr>
          <w:rFonts w:cs="Arial" w:ascii="Arial" w:hAnsi="Arial"/>
          <w:sz w:val="24"/>
          <w:szCs w:val="24"/>
        </w:rPr>
        <w:t>- raportările contabile semestriale, în termen de 45 de zile de la încheierea semestrului;</w:t>
      </w:r>
    </w:p>
    <w:p>
      <w:pPr>
        <w:pStyle w:val="Normal"/>
        <w:jc w:val="both"/>
        <w:rPr>
          <w:rFonts w:ascii="Arial" w:hAnsi="Arial" w:cs="Arial"/>
          <w:sz w:val="24"/>
          <w:szCs w:val="24"/>
        </w:rPr>
      </w:pPr>
      <w:r>
        <w:rPr>
          <w:rFonts w:cs="Arial" w:ascii="Arial" w:hAnsi="Arial"/>
          <w:sz w:val="24"/>
          <w:szCs w:val="24"/>
        </w:rPr>
        <w:t>- componenţa consiliului de administraţie, inclusiv: numele şi prenumele fiecărui membru al consiliului de administraţie, CV-ul fiecărui membru al consiliului de administraţie, data încetării mandatului fiecărui membru al consiliului de administraţie, afilierea politică a fiecărui membru al consiliului de administraţie, statutul fiecărui membru al consiliului de administraţiei, respectiv definitivi sau provizorii, remuneraţia fiecărui membru al consiliului de administraţie, inclusiv eventuale bonusuri sau beneficii;</w:t>
      </w:r>
    </w:p>
    <w:p>
      <w:pPr>
        <w:pStyle w:val="Normal"/>
        <w:jc w:val="both"/>
        <w:rPr>
          <w:rFonts w:ascii="Arial" w:hAnsi="Arial" w:cs="Arial"/>
          <w:sz w:val="24"/>
          <w:szCs w:val="24"/>
        </w:rPr>
      </w:pPr>
      <w:r>
        <w:rPr>
          <w:rFonts w:cs="Arial" w:ascii="Arial" w:hAnsi="Arial"/>
          <w:sz w:val="24"/>
          <w:szCs w:val="24"/>
        </w:rPr>
        <w:t>- declaraţiile de avere şi de interese ale fiecărui membru al consiliului de administraţie și aș directoratului de pe întreaga durată a mandatului;</w:t>
      </w:r>
    </w:p>
    <w:p>
      <w:pPr>
        <w:pStyle w:val="Normal"/>
        <w:jc w:val="both"/>
        <w:rPr>
          <w:rFonts w:ascii="Arial" w:hAnsi="Arial" w:cs="Arial"/>
          <w:sz w:val="24"/>
          <w:szCs w:val="24"/>
        </w:rPr>
      </w:pPr>
      <w:r>
        <w:rPr>
          <w:rFonts w:cs="Arial" w:ascii="Arial" w:hAnsi="Arial"/>
          <w:sz w:val="24"/>
          <w:szCs w:val="24"/>
        </w:rPr>
        <w:t>- raportul anual cu privire la remuneraţiile şi alte avantaje acordate administratorilor şi directorilor, în cursul anului financiar;</w:t>
      </w:r>
    </w:p>
    <w:p>
      <w:pPr>
        <w:pStyle w:val="Normal"/>
        <w:jc w:val="both"/>
        <w:rPr>
          <w:rFonts w:ascii="Arial" w:hAnsi="Arial" w:cs="Arial"/>
          <w:sz w:val="24"/>
          <w:szCs w:val="24"/>
        </w:rPr>
      </w:pPr>
      <w:r>
        <w:rPr>
          <w:rFonts w:cs="Arial" w:ascii="Arial" w:hAnsi="Arial"/>
          <w:sz w:val="24"/>
          <w:szCs w:val="24"/>
        </w:rPr>
        <w:t>- codul de etică, în 2 zile lucrătoare de la data adoptării, respectiv la data de 31 mai a fiecărui an, în cazul revizuirii acestuia;</w:t>
      </w:r>
    </w:p>
    <w:p>
      <w:pPr>
        <w:pStyle w:val="Normal"/>
        <w:jc w:val="both"/>
        <w:rPr>
          <w:rStyle w:val="Bodytext"/>
          <w:rFonts w:ascii="Arial" w:hAnsi="Arial" w:eastAsia="Calibri" w:cs="Arial" w:eastAsiaTheme="minorHAnsi"/>
          <w:sz w:val="24"/>
          <w:szCs w:val="24"/>
        </w:rPr>
      </w:pPr>
      <w:r>
        <w:rPr>
          <w:rFonts w:cs="Arial" w:ascii="Arial" w:hAnsi="Arial"/>
          <w:sz w:val="24"/>
          <w:szCs w:val="24"/>
        </w:rPr>
        <w:t>- procedura prin care s-a făcut selecţia membrilor consiliului de administraţie, precum şi revocările din funcţiile respective în ultimii 3 ani şi motivele revocărilor;</w:t>
      </w:r>
    </w:p>
    <w:p>
      <w:pPr>
        <w:pStyle w:val="Normal"/>
        <w:jc w:val="both"/>
        <w:rPr>
          <w:rStyle w:val="Bodytext"/>
          <w:rFonts w:ascii="Arial" w:hAnsi="Arial" w:eastAsia="Calibri" w:cs="Arial" w:eastAsiaTheme="minorHAnsi"/>
          <w:sz w:val="24"/>
          <w:szCs w:val="24"/>
        </w:rPr>
      </w:pPr>
      <w:r>
        <w:rPr>
          <w:rFonts w:cs="Arial" w:ascii="Arial" w:hAnsi="Arial"/>
          <w:sz w:val="24"/>
          <w:szCs w:val="24"/>
        </w:rPr>
        <w:t>- scrisoarea de aşteptări;</w:t>
      </w:r>
    </w:p>
    <w:p>
      <w:pPr>
        <w:pStyle w:val="Normal"/>
        <w:jc w:val="both"/>
        <w:rPr>
          <w:rFonts w:ascii="Arial" w:hAnsi="Arial" w:cs="Arial"/>
          <w:sz w:val="24"/>
          <w:szCs w:val="24"/>
        </w:rPr>
      </w:pPr>
      <w:r>
        <w:rPr>
          <w:rFonts w:cs="Arial" w:ascii="Arial" w:hAnsi="Arial"/>
          <w:sz w:val="24"/>
          <w:szCs w:val="24"/>
        </w:rPr>
        <w:t>- contractul de mandat;</w:t>
      </w:r>
    </w:p>
    <w:p>
      <w:pPr>
        <w:pStyle w:val="Normal"/>
        <w:jc w:val="both"/>
        <w:rPr>
          <w:rFonts w:ascii="Arial" w:hAnsi="Arial" w:cs="Arial"/>
          <w:sz w:val="24"/>
          <w:szCs w:val="24"/>
        </w:rPr>
      </w:pPr>
      <w:r>
        <w:rPr>
          <w:rFonts w:cs="Arial" w:ascii="Arial" w:hAnsi="Arial"/>
          <w:sz w:val="24"/>
          <w:szCs w:val="24"/>
        </w:rPr>
        <w:t>- bugetul pentru investiţii în fiecare dintre ultimii 3 ani financiari;</w:t>
      </w:r>
    </w:p>
    <w:p>
      <w:pPr>
        <w:pStyle w:val="Normal"/>
        <w:jc w:val="both"/>
        <w:rPr>
          <w:rFonts w:ascii="Arial" w:hAnsi="Arial" w:cs="Arial"/>
          <w:sz w:val="24"/>
          <w:szCs w:val="24"/>
        </w:rPr>
      </w:pPr>
      <w:r>
        <w:rPr>
          <w:rFonts w:cs="Arial" w:ascii="Arial" w:hAnsi="Arial"/>
          <w:sz w:val="24"/>
          <w:szCs w:val="24"/>
        </w:rPr>
        <w:t>- cheltuielile totale cu personalul în ultimii 3 ani (inclusiv salarii, sporuri, bonusuri, cheltuieli de formare profesională, decontări şi alte beneficii);</w:t>
      </w:r>
    </w:p>
    <w:p>
      <w:pPr>
        <w:pStyle w:val="Normal"/>
        <w:jc w:val="both"/>
        <w:rPr>
          <w:rFonts w:ascii="Arial" w:hAnsi="Arial" w:cs="Arial"/>
          <w:sz w:val="24"/>
          <w:szCs w:val="24"/>
        </w:rPr>
      </w:pPr>
      <w:r>
        <w:rPr>
          <w:rFonts w:cs="Arial" w:ascii="Arial" w:hAnsi="Arial"/>
          <w:sz w:val="24"/>
          <w:szCs w:val="24"/>
        </w:rPr>
        <w:t>- datoriile întreprinderii publice către bugetul de stat, către instituţii de creditare şi către parteneri comerciali, cu menţiunea pentru fiecare categorie cât la sută este reprezentat de restanţe de plată;</w:t>
      </w:r>
    </w:p>
    <w:p>
      <w:pPr>
        <w:pStyle w:val="Normal"/>
        <w:jc w:val="both"/>
        <w:rPr>
          <w:rFonts w:ascii="Arial" w:hAnsi="Arial" w:cs="Arial"/>
          <w:sz w:val="24"/>
          <w:szCs w:val="24"/>
        </w:rPr>
      </w:pPr>
      <w:r>
        <w:rPr>
          <w:rFonts w:cs="Arial" w:ascii="Arial" w:hAnsi="Arial"/>
          <w:sz w:val="24"/>
          <w:szCs w:val="24"/>
        </w:rPr>
        <w:t>- valoarea subvenţiei operaţionale primite de la bugetul de stat;</w:t>
      </w:r>
    </w:p>
    <w:p>
      <w:pPr>
        <w:pStyle w:val="Normal"/>
        <w:jc w:val="both"/>
        <w:rPr>
          <w:rFonts w:ascii="Arial" w:hAnsi="Arial" w:cs="Arial"/>
          <w:sz w:val="24"/>
          <w:szCs w:val="24"/>
        </w:rPr>
      </w:pPr>
      <w:r>
        <w:rPr>
          <w:rFonts w:cs="Arial" w:ascii="Arial" w:hAnsi="Arial"/>
          <w:sz w:val="24"/>
          <w:szCs w:val="24"/>
        </w:rPr>
        <w:t>- serviciile sau bunurile produse de întreprindere în interes public;</w:t>
      </w:r>
    </w:p>
    <w:p>
      <w:pPr>
        <w:pStyle w:val="Normal"/>
        <w:jc w:val="both"/>
        <w:rPr>
          <w:rFonts w:ascii="Arial" w:hAnsi="Arial" w:cs="Arial"/>
          <w:sz w:val="24"/>
          <w:szCs w:val="24"/>
        </w:rPr>
      </w:pPr>
      <w:r>
        <w:rPr>
          <w:rFonts w:cs="Arial" w:ascii="Arial" w:hAnsi="Arial"/>
          <w:sz w:val="24"/>
          <w:szCs w:val="24"/>
        </w:rPr>
        <w:t>- menţionarea obiectivului de politică publică a întreprinderii;</w:t>
      </w:r>
    </w:p>
    <w:p>
      <w:pPr>
        <w:pStyle w:val="Normal"/>
        <w:jc w:val="both"/>
        <w:rPr>
          <w:rFonts w:ascii="Arial" w:hAnsi="Arial" w:cs="Arial"/>
          <w:sz w:val="24"/>
          <w:szCs w:val="24"/>
        </w:rPr>
      </w:pPr>
      <w:r>
        <w:rPr>
          <w:rFonts w:cs="Arial" w:ascii="Arial" w:hAnsi="Arial"/>
          <w:sz w:val="24"/>
          <w:szCs w:val="24"/>
        </w:rPr>
        <w:t>- situaţiile de risc/analiza de risc din domeniul de activitate al întreprinderii;</w:t>
      </w:r>
    </w:p>
    <w:p>
      <w:pPr>
        <w:pStyle w:val="Normal"/>
        <w:jc w:val="both"/>
        <w:rPr>
          <w:rFonts w:ascii="Arial" w:hAnsi="Arial" w:cs="Arial"/>
          <w:sz w:val="24"/>
          <w:szCs w:val="24"/>
        </w:rPr>
      </w:pPr>
      <w:r>
        <w:rPr>
          <w:rFonts w:cs="Arial" w:ascii="Arial" w:hAnsi="Arial"/>
          <w:sz w:val="24"/>
          <w:szCs w:val="24"/>
        </w:rPr>
        <w:t>- raportul anual agregat pe pagina web a întreprinderii;</w:t>
      </w:r>
    </w:p>
    <w:p>
      <w:pPr>
        <w:pStyle w:val="Normal"/>
        <w:jc w:val="both"/>
        <w:rPr>
          <w:rFonts w:ascii="Arial" w:hAnsi="Arial" w:cs="Arial"/>
          <w:sz w:val="24"/>
          <w:szCs w:val="24"/>
        </w:rPr>
      </w:pPr>
      <w:r>
        <w:rPr>
          <w:rFonts w:cs="Arial" w:ascii="Arial" w:hAnsi="Arial"/>
          <w:sz w:val="24"/>
          <w:szCs w:val="24"/>
        </w:rPr>
        <w:t>- menţionarea obiectivului de politică publică a întreprinderii;</w:t>
      </w:r>
    </w:p>
    <w:p>
      <w:pPr>
        <w:pStyle w:val="Normal"/>
        <w:jc w:val="both"/>
        <w:rPr>
          <w:rFonts w:ascii="Arial" w:hAnsi="Arial" w:cs="Arial"/>
          <w:sz w:val="24"/>
          <w:szCs w:val="24"/>
        </w:rPr>
      </w:pPr>
      <w:r>
        <w:rPr>
          <w:rFonts w:cs="Arial" w:ascii="Arial" w:hAnsi="Arial"/>
          <w:sz w:val="24"/>
          <w:szCs w:val="24"/>
        </w:rPr>
        <w:t>- planul de integritate al întreprinderii (dezvoltat în concordanţă cu Ghidul de bună practică al OCDE privind controlul intern, etica şi conformitatea) şi mecanismul de raportare de către avertizorii în interes public a încălcărilor legii;</w:t>
      </w:r>
    </w:p>
    <w:p>
      <w:pPr>
        <w:pStyle w:val="Normal"/>
        <w:jc w:val="both"/>
        <w:rPr>
          <w:rFonts w:ascii="Arial" w:hAnsi="Arial" w:cs="Arial"/>
          <w:sz w:val="24"/>
          <w:szCs w:val="24"/>
        </w:rPr>
      </w:pPr>
      <w:r>
        <w:rPr>
          <w:rFonts w:cs="Arial" w:ascii="Arial" w:hAnsi="Arial"/>
          <w:sz w:val="24"/>
          <w:szCs w:val="24"/>
        </w:rPr>
        <w:t>- raportul de audit extern.</w:t>
      </w:r>
    </w:p>
    <w:p>
      <w:pPr>
        <w:pStyle w:val="Normal"/>
        <w:jc w:val="both"/>
        <w:rPr>
          <w:rFonts w:ascii="Arial" w:hAnsi="Arial" w:cs="Arial"/>
          <w:sz w:val="24"/>
          <w:szCs w:val="24"/>
        </w:rPr>
      </w:pPr>
      <w:r>
        <w:rPr>
          <w:rFonts w:cs="Arial" w:ascii="Arial" w:hAnsi="Arial"/>
          <w:sz w:val="24"/>
          <w:szCs w:val="24"/>
        </w:rPr>
        <w:t>Situaţiile financiare anuale şi raportările contabile semestriale, rapoartele consiliului de administraţie şi raportul de audit anual sunt păstrate pe pagina de internet a întreprinderii publice pe o perioadă de cel puţin 3 ani, după aprobarea acestora.</w:t>
      </w:r>
    </w:p>
    <w:p>
      <w:pPr>
        <w:pStyle w:val="Normal"/>
        <w:jc w:val="both"/>
        <w:rPr>
          <w:rFonts w:ascii="Arial" w:hAnsi="Arial" w:cs="Arial"/>
          <w:iCs/>
          <w:sz w:val="24"/>
          <w:szCs w:val="24"/>
        </w:rPr>
      </w:pPr>
      <w:r>
        <w:rPr>
          <w:rFonts w:cs="Arial" w:ascii="Arial" w:hAnsi="Arial"/>
          <w:iCs/>
          <w:sz w:val="24"/>
          <w:szCs w:val="24"/>
        </w:rPr>
        <w:t xml:space="preserve">Publicarea informaţiilor prevăzute la alin. (1) şi (2) se va realiza într-o secţiune distinctă de pe pagina de internet a respectivei întreprinderi publice. </w:t>
      </w:r>
    </w:p>
    <w:p>
      <w:pPr>
        <w:pStyle w:val="Normal"/>
        <w:spacing w:before="26" w:after="120"/>
        <w:jc w:val="both"/>
        <w:rPr>
          <w:rFonts w:ascii="Arial" w:hAnsi="Arial" w:cs="Arial"/>
          <w:sz w:val="24"/>
          <w:szCs w:val="24"/>
        </w:rPr>
      </w:pPr>
      <w:r>
        <w:rPr>
          <w:rFonts w:cs="Arial" w:ascii="Arial" w:hAnsi="Arial"/>
          <w:sz w:val="24"/>
          <w:szCs w:val="24"/>
        </w:rPr>
      </w:r>
    </w:p>
    <w:tbl>
      <w:tblPr>
        <w:tblStyle w:val="TableGrid"/>
        <w:tblW w:w="9016" w:type="dxa"/>
        <w:jc w:val="left"/>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Implementarea unui sistem eficient și fiabil de guvernanță corporativă</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Nefinanciar privind guvernanța corporativă</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Prezentarea indicatorilor relevanți părtilor interesate, atât financiari cât și nefinanciari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Întocmirea Codului de etică și conduită profesională</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Asigurarea transparenței către toate părțile interesate, clienți, acționari, salariați, parteneri, cu ajutorul sistemelor informatice</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Urmarirea îndeplinirii sarcinilor și obiectivelor trasate managementului de către Autoritatea Publică Tutelară și Consiliul de Administrație</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Rata membrilor independenți în consiliul de administrație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&gt;50%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&gt;50%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&gt;50%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&gt;50%</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Numărul de reuniuni ale consiliului de administrație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10</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Stabilirea politicilor de gestionare a riscurilor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r>
    </w:tbl>
    <w:p>
      <w:pPr>
        <w:pStyle w:val="Normal"/>
        <w:jc w:val="both"/>
        <w:rPr>
          <w:rFonts w:ascii="Arial" w:hAnsi="Arial" w:cs="Arial"/>
        </w:rPr>
      </w:pPr>
      <w:r>
        <w:rPr>
          <w:rFonts w:cs="Arial" w:ascii="Arial" w:hAnsi="Arial"/>
        </w:rPr>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6.8 Așteptări privind politica de finanțare aplicabilă întreprinderii publice</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Consiliul de administrație, prin administratorii săi, trebuie să urmărească reducerea la minim a plăților restante, tocmai pentru a preveni cheltuieli suplimentare cu penalitățile și majorările de întârziere în sarcina societății. Societatea trebuie să-și achite, cu prioritate, obligațiile la bugetul de stat, bugetul asigurărilor sociale și la bugetul local.</w:t>
      </w:r>
    </w:p>
    <w:p>
      <w:pPr>
        <w:pStyle w:val="BodyText1"/>
        <w:spacing w:lineRule="auto" w:line="276" w:before="0" w:after="120"/>
        <w:ind w:hanging="0"/>
        <w:jc w:val="both"/>
        <w:rPr>
          <w:rStyle w:val="Bodytext"/>
          <w:rFonts w:ascii="Arial" w:hAnsi="Arial" w:eastAsia="Courier New" w:cs="Arial"/>
          <w:color w:val="auto"/>
        </w:rPr>
      </w:pPr>
      <w:r>
        <w:rPr>
          <w:rStyle w:val="Bodytext"/>
          <w:rFonts w:eastAsia="Courier New" w:cs="Arial" w:ascii="Arial" w:hAnsi="Arial"/>
          <w:color w:val="auto"/>
        </w:rPr>
        <w:t>Consiliul de administrație, prin administratorii săi, trebuie să urmărească încasarea la termen a creanțelor societății și să dispună toate măsurile de recuperare a acestora în termenul legal de prescripție. În caz de nerecuperare a creanțelor în termenul legal, administratorii vor răspunde în solidar cu directorii pentru prejudiciul cauzat societății.</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Angajarea oricăror cheltuieli trebuie să respecte principiile eficienței, eficacității și economicității.</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Asigurarea în următorii 4 ani a serviciului de transport public din municipiul Tulcea în condiții de eficiență energetică, eficacitate și respect al normelor de mediu</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Financiar privind politica de finantare</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Asigurarea unui echilibru între încasări și plăți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Limitarea achizitiilor la nivelul stocului minim de siguranță, cu respectarea strictă a procedurii Legii nr. 98/2016 privind achizițiile publice</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Creșterea gradului de încasare a creantelor pentru asigurarea nivelului optim de lichidități, în vederea respectării termenelor de plată a datoriilor către furnizori, salariați și buget</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Lichiditatea curentă</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Lichiditatea imediată</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0,8%</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0,8%</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0,8%</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0,8%</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Levierul</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en-US" w:eastAsia="en-US" w:bidi="ar-SA"/>
              </w:rPr>
              <w:t>&gt;</w:t>
            </w:r>
            <w:r>
              <w:rPr>
                <w:rFonts w:eastAsia="Calibri" w:cs="Arial" w:ascii="Arial" w:hAnsi="Arial"/>
                <w:sz w:val="24"/>
                <w:szCs w:val="24"/>
                <w:lang w:val="ro-RO" w:eastAsia="en-US" w:bidi="ar-SA"/>
              </w:rPr>
              <w:t>0 - &lt;1</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en-US" w:eastAsia="en-US" w:bidi="ar-SA"/>
              </w:rPr>
              <w:t>&gt;</w:t>
            </w:r>
            <w:r>
              <w:rPr>
                <w:rFonts w:eastAsia="Calibri" w:cs="Arial" w:ascii="Arial" w:hAnsi="Arial"/>
                <w:sz w:val="24"/>
                <w:szCs w:val="24"/>
                <w:lang w:val="ro-RO" w:eastAsia="en-US" w:bidi="ar-SA"/>
              </w:rPr>
              <w:t>0 - &lt;1</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en-US" w:eastAsia="en-US" w:bidi="ar-SA"/>
              </w:rPr>
              <w:t>&gt;</w:t>
            </w:r>
            <w:r>
              <w:rPr>
                <w:rFonts w:eastAsia="Calibri" w:cs="Arial" w:ascii="Arial" w:hAnsi="Arial"/>
                <w:sz w:val="24"/>
                <w:szCs w:val="24"/>
                <w:lang w:val="ro-RO" w:eastAsia="en-US" w:bidi="ar-SA"/>
              </w:rPr>
              <w:t>0 - &lt;1</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en-US" w:eastAsia="en-US" w:bidi="ar-SA"/>
              </w:rPr>
              <w:t>&gt;</w:t>
            </w:r>
            <w:r>
              <w:rPr>
                <w:rFonts w:eastAsia="Calibri" w:cs="Arial" w:ascii="Arial" w:hAnsi="Arial"/>
                <w:sz w:val="24"/>
                <w:szCs w:val="24"/>
                <w:lang w:val="ro-RO" w:eastAsia="en-US" w:bidi="ar-SA"/>
              </w:rPr>
              <w:t>0 - &lt;1</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Raportul dintre datorie și EBITDA</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&gt;0</w:t>
            </w:r>
          </w:p>
        </w:tc>
      </w:tr>
    </w:tbl>
    <w:p>
      <w:pPr>
        <w:pStyle w:val="ListParagraph"/>
        <w:ind w:left="0" w:hanging="0"/>
        <w:jc w:val="both"/>
        <w:rPr>
          <w:rFonts w:ascii="Arial" w:hAnsi="Arial" w:cs="Arial"/>
          <w:sz w:val="24"/>
          <w:szCs w:val="24"/>
        </w:rPr>
      </w:pPr>
      <w:r>
        <w:rPr>
          <w:rFonts w:cs="Arial" w:ascii="Arial" w:hAnsi="Arial"/>
          <w:sz w:val="24"/>
          <w:szCs w:val="24"/>
        </w:rPr>
      </w:r>
    </w:p>
    <w:p>
      <w:pPr>
        <w:pStyle w:val="ListParagraph"/>
        <w:ind w:left="0" w:hanging="0"/>
        <w:jc w:val="both"/>
        <w:rPr>
          <w:rFonts w:ascii="Arial" w:hAnsi="Arial" w:cs="Arial"/>
          <w:sz w:val="24"/>
          <w:szCs w:val="24"/>
        </w:rPr>
      </w:pPr>
      <w:r>
        <w:rPr>
          <w:rFonts w:cs="Arial" w:ascii="Arial" w:hAnsi="Arial"/>
          <w:sz w:val="24"/>
          <w:szCs w:val="24"/>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6.9 Așteptări privind obiectivele de mediu</w:t>
      </w:r>
    </w:p>
    <w:p>
      <w:pPr>
        <w:pStyle w:val="Normal"/>
        <w:jc w:val="both"/>
        <w:rPr>
          <w:rFonts w:ascii="Arial" w:hAnsi="Arial" w:eastAsia="" w:cs="Arial" w:eastAsiaTheme="majorEastAsia"/>
          <w:b/>
          <w:b/>
          <w:bCs/>
          <w:color w:val="2F5496" w:themeColor="accent1" w:themeShade="bf"/>
          <w:sz w:val="26"/>
          <w:szCs w:val="26"/>
        </w:rPr>
      </w:pPr>
      <w:r>
        <w:rPr>
          <w:rFonts w:eastAsia="" w:cs="Arial" w:eastAsiaTheme="majorEastAsia" w:ascii="Arial" w:hAnsi="Arial"/>
          <w:b/>
          <w:bCs/>
          <w:color w:val="2F5496" w:themeColor="accent1" w:themeShade="bf"/>
          <w:sz w:val="26"/>
          <w:szCs w:val="26"/>
        </w:rPr>
      </w:r>
    </w:p>
    <w:p>
      <w:pPr>
        <w:pStyle w:val="BodyText1"/>
        <w:spacing w:lineRule="auto" w:line="276" w:before="0" w:after="120"/>
        <w:ind w:hanging="0"/>
        <w:jc w:val="both"/>
        <w:rPr>
          <w:rFonts w:ascii="Arial" w:hAnsi="Arial" w:cs="Arial"/>
          <w:b/>
          <w:b/>
        </w:rPr>
      </w:pPr>
      <w:bookmarkStart w:id="33" w:name="bookmark162"/>
      <w:r>
        <w:rPr>
          <w:rStyle w:val="Bodytext"/>
          <w:rFonts w:eastAsia="Courier New" w:cs="Arial" w:ascii="Arial" w:hAnsi="Arial"/>
          <w:color w:val="auto"/>
        </w:rPr>
        <w:t xml:space="preserve">Auutoritatea publică tutelară va urmări, în executarea serviciului de transport public,  </w:t>
      </w:r>
      <w:r>
        <w:rPr>
          <w:rStyle w:val="Heading11"/>
          <w:rFonts w:eastAsia="Courier New" w:cs="Arial" w:ascii="Arial" w:hAnsi="Arial"/>
          <w:b w:val="false"/>
          <w:iCs/>
          <w:color w:val="auto"/>
        </w:rPr>
        <w:t>respectarea normelor de mediu, prin</w:t>
      </w:r>
      <w:bookmarkEnd w:id="33"/>
      <w:r>
        <w:rPr>
          <w:rStyle w:val="Heading11"/>
          <w:rFonts w:eastAsia="Courier New" w:cs="Arial" w:ascii="Arial" w:hAnsi="Arial"/>
          <w:b w:val="false"/>
          <w:iCs/>
          <w:color w:val="auto"/>
        </w:rPr>
        <w:t>:</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1) Gestionarea rațională și eficientă a resurselor materiale, prevenirea și eliminarea oricăror aspecte cu impact negativ asupra solului și mediului;</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2) Identificarea și utilizarea tehnologiilor și sistemelor moderne de reducere a noxelor eliminate în atmosferă de mijloacele de transport sau a oricărui alt agent poluant susceptibil a rezulta din activitatea de exploatare;</w:t>
      </w:r>
    </w:p>
    <w:p>
      <w:pPr>
        <w:pStyle w:val="BodyText1"/>
        <w:spacing w:lineRule="auto" w:line="276" w:before="0" w:after="120"/>
        <w:ind w:hanging="0"/>
        <w:jc w:val="both"/>
        <w:rPr>
          <w:rFonts w:ascii="Arial" w:hAnsi="Arial" w:cs="Arial"/>
        </w:rPr>
      </w:pPr>
      <w:r>
        <w:rPr>
          <w:rStyle w:val="Bodytext"/>
          <w:rFonts w:eastAsia="Courier New" w:cs="Arial" w:ascii="Arial" w:hAnsi="Arial"/>
          <w:color w:val="auto"/>
        </w:rPr>
        <w:t xml:space="preserve">3) Practicarea procedurilor și metodelor eficiente și moderne de gestionare a rezidurilor combustibile, deșeurilor tehnologice și/sau materiale, apelor reziduale, emisiilor poluante </w:t>
      </w:r>
      <w:r>
        <w:rPr>
          <w:rStyle w:val="Bodytext"/>
          <w:rFonts w:eastAsia="Courier New" w:cs="Arial" w:ascii="Arial" w:hAnsi="Arial"/>
          <w:color w:val="auto"/>
          <w:lang w:eastAsia="en-US"/>
        </w:rPr>
        <w:t xml:space="preserve">etc., </w:t>
      </w:r>
      <w:r>
        <w:rPr>
          <w:rStyle w:val="Bodytext"/>
          <w:rFonts w:eastAsia="Courier New" w:cs="Arial" w:ascii="Arial" w:hAnsi="Arial"/>
          <w:color w:val="auto"/>
        </w:rPr>
        <w:t>conform legislației specifice și standardelor europene.</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Asigurarea în următorii 4 ani a serviciului de transport public din municipiul Tulcea în condiții de eficiență energetică, eficacitate și respect al normelor de mediu</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Nefinanciar privind politica de mediu</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Asigurarea prevenirii poluării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Dezvoltarea și implementarea permanentă a unor politici și programe de protecție a mediului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Reducerea consumului de energie și a emisiilor de carbon</w:t>
            </w:r>
          </w:p>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Consumul de energie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-1,3%</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-1,3%</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-1,3%</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-1,3%</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Emisiile din domeniul de aplicare 1</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-1,20%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-1,20%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-1,20%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-1,20%</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Emisiile din domeniul de aplicare 2</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-1,90%</w:t>
            </w:r>
          </w:p>
        </w:tc>
      </w:tr>
    </w:tbl>
    <w:p>
      <w:pPr>
        <w:pStyle w:val="Heading2"/>
        <w:rPr>
          <w:rFonts w:ascii="Arial" w:hAnsi="Arial" w:cs="Arial"/>
          <w:color w:val="auto"/>
        </w:rPr>
      </w:pPr>
      <w:r>
        <w:rPr>
          <w:rFonts w:cs="Arial" w:ascii="Arial" w:hAnsi="Arial"/>
          <w:color w:val="auto"/>
        </w:rPr>
      </w:r>
    </w:p>
    <w:p>
      <w:pPr>
        <w:pStyle w:val="Normal"/>
        <w:rPr/>
      </w:pPr>
      <w:r>
        <w:rPr/>
      </w:r>
    </w:p>
    <w:p>
      <w:pPr>
        <w:pStyle w:val="Normal"/>
        <w:rPr/>
      </w:pPr>
      <w:r>
        <w:rPr/>
      </w:r>
    </w:p>
    <w:p>
      <w:pPr>
        <w:pStyle w:val="Normal"/>
        <w:jc w:val="both"/>
        <w:rPr>
          <w:rFonts w:ascii="Arial" w:hAnsi="Arial" w:eastAsia="" w:cs="Arial" w:eastAsiaTheme="majorEastAsia"/>
          <w:b/>
          <w:b/>
          <w:bCs/>
          <w:color w:val="2F5496" w:themeColor="accent1" w:themeShade="bf"/>
          <w:sz w:val="26"/>
          <w:szCs w:val="26"/>
        </w:rPr>
      </w:pPr>
      <w:r>
        <w:rPr>
          <w:rFonts w:eastAsia="" w:cs="Arial" w:ascii="Arial" w:hAnsi="Arial" w:eastAsiaTheme="majorEastAsia"/>
          <w:b/>
          <w:bCs/>
          <w:color w:val="2F5496" w:themeColor="accent1" w:themeShade="bf"/>
          <w:sz w:val="26"/>
          <w:szCs w:val="26"/>
        </w:rPr>
        <w:t xml:space="preserve">6.10 Așteptări privind politica de resurse umane </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p>
      <w:pPr>
        <w:pStyle w:val="BodyText1"/>
        <w:spacing w:lineRule="auto" w:line="276" w:before="0" w:after="120"/>
        <w:ind w:hanging="0"/>
        <w:jc w:val="both"/>
        <w:rPr>
          <w:rFonts w:ascii="Arial" w:hAnsi="Arial" w:cs="Arial"/>
          <w:color w:val="auto"/>
        </w:rPr>
      </w:pPr>
      <w:r>
        <w:rPr>
          <w:rStyle w:val="Bodytext"/>
          <w:rFonts w:eastAsia="Courier New" w:cs="Arial" w:ascii="Arial" w:hAnsi="Arial"/>
          <w:color w:val="auto"/>
        </w:rPr>
        <w:t>Consiliul de administrație va urmări crearea unui mediu propice perfecționării profesionale în societate și sprijinirea angajaților în a-și dezvolta capacități de folosire a tehnicilor și procedurilor moderne de muncă, prin identificarea și asigurarea oricăror posibilități eficiente de instruire și reducerea la minim a accidentelor de muncă.</w:t>
      </w:r>
    </w:p>
    <w:p>
      <w:pPr>
        <w:pStyle w:val="Normal"/>
        <w:jc w:val="both"/>
        <w:rPr>
          <w:rFonts w:ascii="Arial" w:hAnsi="Arial" w:eastAsia="" w:cs="Arial" w:eastAsiaTheme="majorEastAsia"/>
          <w:b/>
          <w:b/>
          <w:bCs/>
          <w:color w:val="2F5496" w:themeColor="accent1" w:themeShade="bf"/>
          <w:sz w:val="24"/>
          <w:szCs w:val="24"/>
        </w:rPr>
      </w:pPr>
      <w:r>
        <w:rPr>
          <w:rFonts w:eastAsia="" w:cs="Arial" w:eastAsiaTheme="majorEastAsia" w:ascii="Arial" w:hAnsi="Arial"/>
          <w:b/>
          <w:bCs/>
          <w:color w:val="2F5496" w:themeColor="accent1" w:themeShade="bf"/>
          <w:sz w:val="24"/>
          <w:szCs w:val="24"/>
        </w:rPr>
      </w:r>
    </w:p>
    <w:tbl>
      <w:tblPr>
        <w:tblStyle w:val="TableGrid"/>
        <w:tblW w:w="9016" w:type="dxa"/>
        <w:jc w:val="center"/>
        <w:tblInd w:w="0" w:type="dxa"/>
        <w:tblLayout w:type="fixed"/>
        <w:tblCellMar>
          <w:top w:w="0" w:type="dxa"/>
          <w:left w:w="108" w:type="dxa"/>
          <w:bottom w:w="0" w:type="dxa"/>
          <w:right w:w="108" w:type="dxa"/>
        </w:tblCellMar>
        <w:tblLook w:val="04a0"/>
      </w:tblPr>
      <w:tblGrid>
        <w:gridCol w:w="2268"/>
        <w:gridCol w:w="1616"/>
        <w:gridCol w:w="1843"/>
        <w:gridCol w:w="1846"/>
        <w:gridCol w:w="1443"/>
      </w:tblGrid>
      <w:tr>
        <w:trPr/>
        <w:tc>
          <w:tcPr>
            <w:tcW w:w="9016" w:type="dxa"/>
            <w:gridSpan w:val="5"/>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 STRATEGIC</w:t>
            </w:r>
          </w:p>
        </w:tc>
      </w:tr>
      <w:tr>
        <w:trPr/>
        <w:tc>
          <w:tcPr>
            <w:tcW w:w="9016" w:type="dxa"/>
            <w:gridSpan w:val="5"/>
            <w:tcBorders/>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Maximizarea rentabilității capitalului uman al societății în condiții de stabilitate și satisfacție crescută a angajaților și de sănătate și securitate în muncă</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OBIECTIVUL Nefinanciar privind resursa umana</w:t>
            </w:r>
          </w:p>
        </w:tc>
        <w:tc>
          <w:tcPr>
            <w:tcW w:w="6748" w:type="dxa"/>
            <w:gridSpan w:val="4"/>
            <w:tcBorders/>
            <w:vAlign w:val="center"/>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ACȚIUNI MAJORE PENTRU ATINGEREA OBIECTIVULUI</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6748" w:type="dxa"/>
            <w:gridSpan w:val="4"/>
            <w:tcBorders/>
          </w:tcPr>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Dimensionarea corectă a resursei umane</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Informarea și motivarea personalului organizației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Instruirea permanentă a angajaților în scopul creșterii gradului de profesionalism</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Crearea unui mediu favorabil de lucru</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Remunerarea personalului pe criterii obiective și evaluarea conform indicatorilor specifici</w:t>
            </w:r>
          </w:p>
          <w:p>
            <w:pPr>
              <w:pStyle w:val="ListParagraph"/>
              <w:widowControl w:val="false"/>
              <w:numPr>
                <w:ilvl w:val="0"/>
                <w:numId w:val="3"/>
              </w:numPr>
              <w:suppressAutoHyphens w:val="true"/>
              <w:spacing w:lineRule="auto" w:line="276" w:before="0" w:after="0"/>
              <w:contextualSpacing/>
              <w:jc w:val="both"/>
              <w:rPr>
                <w:rFonts w:ascii="Arial" w:hAnsi="Arial" w:cs="Arial"/>
                <w:sz w:val="24"/>
                <w:szCs w:val="24"/>
              </w:rPr>
            </w:pPr>
            <w:r>
              <w:rPr>
                <w:rFonts w:eastAsia="Calibri" w:cs="Arial" w:ascii="Arial" w:hAnsi="Arial"/>
                <w:sz w:val="24"/>
                <w:szCs w:val="24"/>
                <w:lang w:val="ro-RO" w:eastAsia="en-US" w:bidi="ar-SA"/>
              </w:rPr>
              <w:t>Oferirea salariatilor de oportunități materiale și de pregătire în scopul motivării și a retentiei în societate</w:t>
            </w:r>
          </w:p>
        </w:tc>
      </w:tr>
      <w:tr>
        <w:trPr/>
        <w:tc>
          <w:tcPr>
            <w:tcW w:w="2268" w:type="dxa"/>
            <w:vMerge w:val="restart"/>
            <w:tcBorders/>
          </w:tcPr>
          <w:p>
            <w:pPr>
              <w:pStyle w:val="Normal"/>
              <w:widowControl w:val="false"/>
              <w:suppressAutoHyphens w:val="true"/>
              <w:spacing w:lineRule="auto" w:line="276" w:before="0" w:after="0"/>
              <w:jc w:val="both"/>
              <w:rPr>
                <w:rFonts w:ascii="Arial" w:hAnsi="Arial" w:cs="Arial"/>
                <w:b/>
                <w:b/>
                <w:bCs/>
                <w:sz w:val="24"/>
                <w:szCs w:val="24"/>
              </w:rPr>
            </w:pPr>
            <w:r>
              <w:rPr>
                <w:rFonts w:eastAsia="Calibri" w:cs="Arial" w:ascii="Arial" w:hAnsi="Arial"/>
                <w:b/>
                <w:bCs/>
                <w:sz w:val="24"/>
                <w:szCs w:val="24"/>
                <w:lang w:val="ro-RO" w:eastAsia="en-US" w:bidi="ar-SA"/>
              </w:rPr>
              <w:t>INDICATORI DE PERFORMANȚĂ CE REFLECTĂ PROGRESUL ÎN ATINGEREA OBIECTIVULUI</w:t>
            </w:r>
          </w:p>
        </w:tc>
        <w:tc>
          <w:tcPr>
            <w:tcW w:w="6748" w:type="dxa"/>
            <w:gridSpan w:val="4"/>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VALOAREA ȚINTĂ ANUALĂ A  INDICATORULUI</w:t>
            </w:r>
          </w:p>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(nivel minim de realizare)</w:t>
            </w:r>
          </w:p>
        </w:tc>
      </w:tr>
      <w:tr>
        <w:trPr/>
        <w:tc>
          <w:tcPr>
            <w:tcW w:w="2268" w:type="dxa"/>
            <w:vMerge w:val="continue"/>
            <w:tcBorders/>
          </w:tcPr>
          <w:p>
            <w:pPr>
              <w:pStyle w:val="Normal"/>
              <w:widowControl w:val="false"/>
              <w:suppressAutoHyphens w:val="true"/>
              <w:spacing w:lineRule="auto" w:line="276" w:before="0" w:after="0"/>
              <w:jc w:val="both"/>
              <w:rPr>
                <w:rFonts w:ascii="Arial" w:hAnsi="Arial" w:cs="Arial"/>
                <w:sz w:val="24"/>
                <w:szCs w:val="24"/>
              </w:rPr>
            </w:pPr>
            <w:r>
              <w:rPr>
                <w:rFonts w:cs="Arial" w:ascii="Arial" w:hAnsi="Arial"/>
                <w:sz w:val="22"/>
                <w:szCs w:val="24"/>
              </w:rPr>
            </w:r>
          </w:p>
        </w:tc>
        <w:tc>
          <w:tcPr>
            <w:tcW w:w="161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2026</w:t>
            </w:r>
          </w:p>
        </w:tc>
        <w:tc>
          <w:tcPr>
            <w:tcW w:w="18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2027</w:t>
            </w:r>
          </w:p>
        </w:tc>
        <w:tc>
          <w:tcPr>
            <w:tcW w:w="1846"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2028</w:t>
            </w:r>
          </w:p>
        </w:tc>
        <w:tc>
          <w:tcPr>
            <w:tcW w:w="1443" w:type="dxa"/>
            <w:tcBorders/>
            <w:vAlign w:val="center"/>
          </w:tcPr>
          <w:p>
            <w:pPr>
              <w:pStyle w:val="Normal"/>
              <w:widowControl w:val="false"/>
              <w:suppressAutoHyphens w:val="true"/>
              <w:spacing w:lineRule="auto" w:line="276" w:before="0" w:after="0"/>
              <w:jc w:val="center"/>
              <w:rPr>
                <w:rFonts w:ascii="Arial" w:hAnsi="Arial" w:cs="Arial"/>
                <w:b/>
                <w:b/>
                <w:bCs/>
                <w:sz w:val="24"/>
                <w:szCs w:val="24"/>
              </w:rPr>
            </w:pPr>
            <w:r>
              <w:rPr>
                <w:rFonts w:eastAsia="Calibri" w:cs="Arial" w:ascii="Arial" w:hAnsi="Arial"/>
                <w:b/>
                <w:bCs/>
                <w:sz w:val="24"/>
                <w:szCs w:val="24"/>
                <w:lang w:val="ro-RO" w:eastAsia="en-US" w:bidi="ar-SA"/>
              </w:rPr>
              <w:t>2029</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Numărul mediu de ore de formare per angajat</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18</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18</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18</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18</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Instituirea unui sistem de siguranță a angajaților</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da</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Numărul de instruiri în materie de siguranță</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4</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Frecvența totală a vătămărilor înregistrate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r>
      <w:tr>
        <w:trPr/>
        <w:tc>
          <w:tcPr>
            <w:tcW w:w="2268" w:type="dxa"/>
            <w:tcBorders/>
            <w:vAlign w:val="center"/>
          </w:tcPr>
          <w:p>
            <w:pPr>
              <w:pStyle w:val="Normal"/>
              <w:widowControl w:val="false"/>
              <w:suppressAutoHyphens w:val="true"/>
              <w:spacing w:lineRule="auto" w:line="276" w:before="0" w:after="0"/>
              <w:jc w:val="both"/>
              <w:rPr>
                <w:rFonts w:ascii="Arial" w:hAnsi="Arial" w:cs="Arial"/>
                <w:sz w:val="24"/>
                <w:szCs w:val="24"/>
              </w:rPr>
            </w:pPr>
            <w:r>
              <w:rPr>
                <w:rFonts w:eastAsia="Calibri" w:cs="Arial" w:ascii="Arial" w:hAnsi="Arial"/>
                <w:sz w:val="24"/>
                <w:szCs w:val="24"/>
                <w:lang w:val="ro-RO" w:eastAsia="en-US" w:bidi="ar-SA"/>
              </w:rPr>
              <w:t>Frecvența vătămărilor grave</w:t>
            </w:r>
          </w:p>
        </w:tc>
        <w:tc>
          <w:tcPr>
            <w:tcW w:w="161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c>
          <w:tcPr>
            <w:tcW w:w="18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c>
          <w:tcPr>
            <w:tcW w:w="1846"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c>
          <w:tcPr>
            <w:tcW w:w="1443" w:type="dxa"/>
            <w:tcBorders/>
          </w:tcPr>
          <w:p>
            <w:pPr>
              <w:pStyle w:val="Normal"/>
              <w:widowControl w:val="false"/>
              <w:suppressAutoHyphens w:val="true"/>
              <w:spacing w:lineRule="auto" w:line="276" w:before="0" w:after="0"/>
              <w:jc w:val="center"/>
              <w:rPr>
                <w:rFonts w:ascii="Arial" w:hAnsi="Arial" w:cs="Arial"/>
                <w:sz w:val="24"/>
                <w:szCs w:val="24"/>
              </w:rPr>
            </w:pPr>
            <w:r>
              <w:rPr>
                <w:rFonts w:eastAsia="Calibri" w:cs="Arial" w:ascii="Arial" w:hAnsi="Arial"/>
                <w:sz w:val="24"/>
                <w:szCs w:val="24"/>
                <w:lang w:val="ro-RO" w:eastAsia="en-US" w:bidi="ar-SA"/>
              </w:rPr>
              <w:t>0</w:t>
            </w:r>
          </w:p>
        </w:tc>
      </w:tr>
    </w:tbl>
    <w:p>
      <w:pPr>
        <w:pStyle w:val="ListParagraph"/>
        <w:ind w:left="0" w:hanging="0"/>
        <w:jc w:val="both"/>
        <w:rPr>
          <w:rFonts w:ascii="Arial" w:hAnsi="Arial" w:cs="Arial"/>
          <w:sz w:val="24"/>
          <w:szCs w:val="24"/>
        </w:rPr>
      </w:pPr>
      <w:r>
        <w:rPr>
          <w:rFonts w:cs="Arial" w:ascii="Arial" w:hAnsi="Arial"/>
          <w:sz w:val="24"/>
          <w:szCs w:val="24"/>
        </w:rPr>
      </w:r>
    </w:p>
    <w:p>
      <w:pPr>
        <w:pStyle w:val="Heading1"/>
        <w:numPr>
          <w:ilvl w:val="0"/>
          <w:numId w:val="36"/>
        </w:numPr>
        <w:ind w:left="0" w:hanging="0"/>
        <w:jc w:val="both"/>
        <w:rPr>
          <w:rFonts w:ascii="Arial" w:hAnsi="Arial" w:cs="Arial"/>
          <w:b/>
          <w:b/>
          <w:bCs/>
          <w:color w:val="auto"/>
        </w:rPr>
      </w:pPr>
      <w:bookmarkStart w:id="34" w:name="_Toc193471068"/>
      <w:r>
        <w:rPr>
          <w:rFonts w:cs="Arial" w:ascii="Arial" w:hAnsi="Arial"/>
          <w:b/>
          <w:bCs/>
          <w:color w:val="auto"/>
        </w:rPr>
        <w:t>Anexă</w:t>
      </w:r>
      <w:bookmarkEnd w:id="34"/>
    </w:p>
    <w:p>
      <w:pPr>
        <w:pStyle w:val="Normal"/>
        <w:tabs>
          <w:tab w:val="clear" w:pos="708"/>
          <w:tab w:val="left" w:pos="426" w:leader="none"/>
        </w:tabs>
        <w:suppressAutoHyphens w:val="true"/>
        <w:spacing w:before="0" w:after="120"/>
        <w:contextualSpacing/>
        <w:jc w:val="both"/>
        <w:textAlignment w:val="baseline"/>
        <w:rPr>
          <w:rFonts w:ascii="Arial" w:hAnsi="Arial" w:cs="Arial"/>
          <w:sz w:val="24"/>
        </w:rPr>
      </w:pPr>
      <w:r>
        <w:rPr>
          <w:rFonts w:cs="Arial" w:ascii="Arial" w:hAnsi="Arial"/>
          <w:sz w:val="24"/>
        </w:rPr>
      </w:r>
    </w:p>
    <w:p>
      <w:pPr>
        <w:pStyle w:val="Normal"/>
        <w:tabs>
          <w:tab w:val="clear" w:pos="708"/>
          <w:tab w:val="left" w:pos="426" w:leader="none"/>
        </w:tabs>
        <w:suppressAutoHyphens w:val="true"/>
        <w:spacing w:before="0" w:after="120"/>
        <w:contextualSpacing/>
        <w:jc w:val="both"/>
        <w:textAlignment w:val="baseline"/>
        <w:rPr>
          <w:rFonts w:ascii="Arial" w:hAnsi="Arial" w:cs="Arial"/>
          <w:sz w:val="24"/>
        </w:rPr>
      </w:pPr>
      <w:r>
        <w:rPr>
          <w:rFonts w:cs="Arial" w:ascii="Arial" w:hAnsi="Arial"/>
          <w:sz w:val="24"/>
        </w:rPr>
        <w:t>Lista completă a indicatorilor cheie de performanță ce definesc așteptările U.A.T. Municipiul Tulcea de la Consiliul de Administrație, pentru perioada 2025 - 2029, cu indicarea valorilor minime acceptate.</w:t>
      </w:r>
    </w:p>
    <w:p>
      <w:pPr>
        <w:pStyle w:val="Normal"/>
        <w:tabs>
          <w:tab w:val="clear" w:pos="708"/>
          <w:tab w:val="left" w:pos="426" w:leader="none"/>
        </w:tabs>
        <w:suppressAutoHyphens w:val="true"/>
        <w:spacing w:before="0" w:after="120"/>
        <w:contextualSpacing/>
        <w:jc w:val="both"/>
        <w:textAlignment w:val="baseline"/>
        <w:rPr>
          <w:rFonts w:ascii="Arial" w:hAnsi="Arial" w:cs="Arial"/>
        </w:rPr>
      </w:pPr>
      <w:r>
        <w:rPr>
          <w:rFonts w:cs="Arial" w:ascii="Arial" w:hAnsi="Arial"/>
        </w:rPr>
      </w:r>
    </w:p>
    <w:p>
      <w:pPr>
        <w:pStyle w:val="Normal"/>
        <w:tabs>
          <w:tab w:val="clear" w:pos="708"/>
          <w:tab w:val="left" w:pos="426" w:leader="none"/>
        </w:tabs>
        <w:suppressAutoHyphens w:val="true"/>
        <w:spacing w:before="0" w:after="120"/>
        <w:contextualSpacing/>
        <w:jc w:val="both"/>
        <w:textAlignment w:val="baseline"/>
        <w:rPr>
          <w:rFonts w:ascii="Arial" w:hAnsi="Arial" w:cs="Arial"/>
        </w:rPr>
      </w:pPr>
      <w:r>
        <w:rPr>
          <w:rFonts w:cs="Arial" w:ascii="Arial" w:hAnsi="Arial"/>
        </w:rPr>
      </w:r>
    </w:p>
    <w:p>
      <w:pPr>
        <w:pStyle w:val="Normal"/>
        <w:tabs>
          <w:tab w:val="clear" w:pos="708"/>
          <w:tab w:val="left" w:pos="426" w:leader="none"/>
        </w:tabs>
        <w:suppressAutoHyphens w:val="true"/>
        <w:spacing w:before="0" w:after="60"/>
        <w:contextualSpacing/>
        <w:jc w:val="both"/>
        <w:textAlignment w:val="baseline"/>
        <w:rPr>
          <w:rFonts w:ascii="Arial" w:hAnsi="Arial" w:cs="Arial"/>
        </w:rPr>
      </w:pPr>
      <w:r>
        <w:rPr>
          <w:rFonts w:cs="Arial" w:ascii="Arial" w:hAnsi="Arial"/>
        </w:rPr>
      </w:r>
    </w:p>
    <w:p>
      <w:pPr>
        <w:pStyle w:val="Normal"/>
        <w:tabs>
          <w:tab w:val="clear" w:pos="708"/>
          <w:tab w:val="left" w:pos="426" w:leader="none"/>
        </w:tabs>
        <w:suppressAutoHyphens w:val="true"/>
        <w:spacing w:before="0" w:after="60"/>
        <w:contextualSpacing/>
        <w:jc w:val="both"/>
        <w:textAlignment w:val="baseline"/>
        <w:rPr>
          <w:rFonts w:ascii="Arial" w:hAnsi="Arial" w:cs="Arial"/>
        </w:rPr>
      </w:pPr>
      <w:r>
        <w:rPr/>
      </w:r>
    </w:p>
    <w:sectPr>
      <w:headerReference w:type="first" r:id="rId2"/>
      <w:footerReference w:type="default" r:id="rId3"/>
      <w:type w:val="nextPage"/>
      <w:pgSz w:w="11906" w:h="16838"/>
      <w:pgMar w:left="1440" w:right="1016" w:header="708" w:top="1440" w:footer="708" w:bottom="1440" w:gutter="0"/>
      <w:pgNumType w:start="0"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Georgia">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Symbo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43548947"/>
    </w:sdtPr>
    <w:sdtContent>
      <w:p>
        <w:pPr>
          <w:pStyle w:val="Footer"/>
          <w:pBdr>
            <w:top w:val="single" w:sz="4" w:space="1" w:color="D9D9D9"/>
          </w:pBdr>
          <w:rPr>
            <w:rFonts w:ascii="Arial" w:hAnsi="Arial" w:cs="Arial"/>
            <w:b/>
            <w:b/>
            <w:bCs/>
          </w:rPr>
        </w:pPr>
        <w:r>
          <w:rPr>
            <w:rFonts w:cs="Arial" w:ascii="Arial" w:hAnsi="Arial"/>
          </w:rPr>
          <w:t>Scrisoare de așteptări TRANSPORT PUBLIC S.A. Tulcea 2025-2029</w:t>
          <w:tab/>
        </w:r>
        <w:r>
          <w:rPr>
            <w:rFonts w:cs="Arial" w:ascii="Arial" w:hAnsi="Arial"/>
            <w:b/>
            <w:bCs/>
          </w:rPr>
          <w:fldChar w:fldCharType="begin"/>
        </w:r>
        <w:r>
          <w:rPr>
            <w:b/>
            <w:bCs/>
            <w:rFonts w:cs="Arial" w:ascii="Arial" w:hAnsi="Arial"/>
          </w:rPr>
          <w:instrText> PAGE </w:instrText>
        </w:r>
        <w:r>
          <w:rPr>
            <w:b/>
            <w:bCs/>
            <w:rFonts w:cs="Arial" w:ascii="Arial" w:hAnsi="Arial"/>
          </w:rPr>
          <w:fldChar w:fldCharType="separate"/>
        </w:r>
        <w:r>
          <w:rPr>
            <w:b/>
            <w:bCs/>
            <w:rFonts w:cs="Arial" w:ascii="Arial" w:hAnsi="Arial"/>
          </w:rPr>
          <w:t>33</w:t>
        </w:r>
        <w:r>
          <w:rPr>
            <w:b/>
            <w:bCs/>
            <w:rFonts w:cs="Arial" w:ascii="Arial" w:hAnsi="Arial"/>
          </w:rPr>
          <w:fldChar w:fldCharType="end"/>
        </w:r>
        <w:r>
          <w:rPr>
            <w:rFonts w:cs="Arial" w:ascii="Arial" w:hAnsi="Arial"/>
            <w:b/>
            <w:bCs/>
          </w:rPr>
          <w:t xml:space="preserve"> | </w:t>
        </w:r>
        <w:r>
          <w:rPr>
            <w:rFonts w:cs="Arial" w:ascii="Arial" w:hAnsi="Arial"/>
            <w:color w:val="7F7F7F" w:themeColor="background1" w:themeShade="7f"/>
            <w:spacing w:val="60"/>
          </w:rPr>
          <w:t>Pag</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75" w:hanging="375"/>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0" w:hanging="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4">
    <w:lvl w:ilvl="0">
      <w:start w:val="2"/>
      <w:numFmt w:val="decimal"/>
      <w:lvlText w:val="%1"/>
      <w:lvlJc w:val="left"/>
      <w:pPr>
        <w:tabs>
          <w:tab w:val="num" w:pos="0"/>
        </w:tabs>
        <w:ind w:left="360" w:hanging="360"/>
      </w:p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5">
    <w:lvl w:ilvl="0">
      <w:start w:val="3"/>
      <w:numFmt w:val="decimal"/>
      <w:lvlText w:val="%1"/>
      <w:lvlJc w:val="left"/>
      <w:pPr>
        <w:tabs>
          <w:tab w:val="num" w:pos="0"/>
        </w:tabs>
        <w:ind w:left="360" w:hanging="360"/>
      </w:pPr>
    </w:lvl>
    <w:lvl w:ilvl="1">
      <w:start w:val="1"/>
      <w:numFmt w:val="decimal"/>
      <w:lvlText w:val="%1.%2"/>
      <w:lvlJc w:val="left"/>
      <w:pPr>
        <w:tabs>
          <w:tab w:val="num" w:pos="0"/>
        </w:tabs>
        <w:ind w:left="1350" w:hanging="720"/>
      </w:pPr>
    </w:lvl>
    <w:lvl w:ilvl="2">
      <w:start w:val="1"/>
      <w:numFmt w:val="decimal"/>
      <w:lvlText w:val="%1.%2.%3"/>
      <w:lvlJc w:val="left"/>
      <w:pPr>
        <w:tabs>
          <w:tab w:val="num" w:pos="0"/>
        </w:tabs>
        <w:ind w:left="1980" w:hanging="720"/>
      </w:pPr>
    </w:lvl>
    <w:lvl w:ilvl="3">
      <w:start w:val="1"/>
      <w:numFmt w:val="decimal"/>
      <w:lvlText w:val="%1.%2.%3.%4"/>
      <w:lvlJc w:val="left"/>
      <w:pPr>
        <w:tabs>
          <w:tab w:val="num" w:pos="0"/>
        </w:tabs>
        <w:ind w:left="2970" w:hanging="1080"/>
      </w:pPr>
    </w:lvl>
    <w:lvl w:ilvl="4">
      <w:start w:val="1"/>
      <w:numFmt w:val="decimal"/>
      <w:lvlText w:val="%1.%2.%3.%4.%5"/>
      <w:lvlJc w:val="left"/>
      <w:pPr>
        <w:tabs>
          <w:tab w:val="num" w:pos="0"/>
        </w:tabs>
        <w:ind w:left="3600" w:hanging="1080"/>
      </w:pPr>
    </w:lvl>
    <w:lvl w:ilvl="5">
      <w:start w:val="1"/>
      <w:numFmt w:val="decimal"/>
      <w:lvlText w:val="%1.%2.%3.%4.%5.%6"/>
      <w:lvlJc w:val="left"/>
      <w:pPr>
        <w:tabs>
          <w:tab w:val="num" w:pos="0"/>
        </w:tabs>
        <w:ind w:left="4590" w:hanging="1440"/>
      </w:pPr>
    </w:lvl>
    <w:lvl w:ilvl="6">
      <w:start w:val="1"/>
      <w:numFmt w:val="decimal"/>
      <w:lvlText w:val="%1.%2.%3.%4.%5.%6.%7"/>
      <w:lvlJc w:val="left"/>
      <w:pPr>
        <w:tabs>
          <w:tab w:val="num" w:pos="0"/>
        </w:tabs>
        <w:ind w:left="5580" w:hanging="1800"/>
      </w:pPr>
    </w:lvl>
    <w:lvl w:ilvl="7">
      <w:start w:val="1"/>
      <w:numFmt w:val="decimal"/>
      <w:lvlText w:val="%1.%2.%3.%4.%5.%6.%7.%8"/>
      <w:lvlJc w:val="left"/>
      <w:pPr>
        <w:tabs>
          <w:tab w:val="num" w:pos="0"/>
        </w:tabs>
        <w:ind w:left="6210" w:hanging="1800"/>
      </w:pPr>
    </w:lvl>
    <w:lvl w:ilvl="8">
      <w:start w:val="1"/>
      <w:numFmt w:val="decimal"/>
      <w:lvlText w:val="%1.%2.%3.%4.%5.%6.%7.%8.%9"/>
      <w:lvlJc w:val="left"/>
      <w:pPr>
        <w:tabs>
          <w:tab w:val="num" w:pos="0"/>
        </w:tabs>
        <w:ind w:left="7200" w:hanging="2160"/>
      </w:pPr>
    </w:lvl>
  </w:abstractNum>
  <w:abstractNum w:abstractNumId="16">
    <w:lvl w:ilvl="0">
      <w:start w:val="1"/>
      <w:numFmt w:val="bullet"/>
      <w:lvlText w:val="&gt;"/>
      <w:lvlJc w:val="left"/>
      <w:pPr>
        <w:tabs>
          <w:tab w:val="num" w:pos="0"/>
        </w:tabs>
        <w:ind w:left="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lowerLetter"/>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Arial" w:hAnsi="Arial" w:eastAsia="Times New Roman"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tabs>
          <w:tab w:val="num" w:pos="0"/>
        </w:tabs>
        <w:ind w:left="375" w:hanging="375"/>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lvl w:ilvl="0">
      <w:start w:val="1"/>
      <w:numFmt w:val="bullet"/>
      <w:lvlText w:val=""/>
      <w:lvlJc w:val="left"/>
      <w:pPr>
        <w:tabs>
          <w:tab w:val="num" w:pos="0"/>
        </w:tabs>
        <w:ind w:left="0" w:hanging="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0"/>
    <w:lvlOverride w:ilvl="0">
      <w:startOverride w:val="1"/>
    </w:lvlOverride>
  </w:num>
  <w:num w:numId="23">
    <w:abstractNumId w:val="20"/>
  </w:num>
  <w:num w:numId="24">
    <w:abstractNumId w:val="20"/>
  </w:num>
  <w:num w:numId="25">
    <w:abstractNumId w:val="20"/>
  </w:num>
  <w:num w:numId="26">
    <w:abstractNumId w:val="20"/>
  </w:num>
  <w:num w:numId="27">
    <w:abstractNumId w:val="21"/>
    <w:lvlOverride w:ilvl="1">
      <w:startOverride w:val="1"/>
    </w:lvlOverride>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0"/>
  </w:num>
  <w:num w:numId="36">
    <w:abstractNumId w:val="20"/>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Gothic" w:hAnsi="Century Gothic" w:eastAsia="Calibri" w:cs="" w:cstheme="minorBidi" w:eastAsiaTheme="minorHAnsi"/>
        <w:kern w:val="2"/>
        <w:sz w:val="22"/>
        <w:szCs w:val="22"/>
        <w:lang w:val="ro-R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2af4"/>
    <w:pPr>
      <w:widowControl/>
      <w:suppressAutoHyphens w:val="true"/>
      <w:bidi w:val="0"/>
      <w:spacing w:lineRule="auto" w:line="276" w:before="0" w:after="120"/>
      <w:jc w:val="left"/>
    </w:pPr>
    <w:rPr>
      <w:rFonts w:ascii="Calibri" w:hAnsi="Calibri" w:eastAsia="Calibri" w:cs="" w:asciiTheme="minorHAnsi" w:hAnsiTheme="minorHAnsi"/>
      <w:color w:val="auto"/>
      <w:kern w:val="0"/>
      <w:sz w:val="22"/>
      <w:szCs w:val="22"/>
      <w:lang w:val="ro-RO" w:eastAsia="en-US" w:bidi="ar-SA"/>
    </w:rPr>
  </w:style>
  <w:style w:type="paragraph" w:styleId="Heading1">
    <w:name w:val="Heading 1"/>
    <w:basedOn w:val="Normal"/>
    <w:next w:val="Normal"/>
    <w:link w:val="Heading1Char"/>
    <w:uiPriority w:val="9"/>
    <w:qFormat/>
    <w:rsid w:val="0022752a"/>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140e00"/>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2752a"/>
    <w:rPr>
      <w:rFonts w:ascii="Calibri Light" w:hAnsi="Calibri Light" w:eastAsia="" w:cs="" w:asciiTheme="majorHAnsi" w:cstheme="majorBidi" w:eastAsiaTheme="majorEastAsia" w:hAnsiTheme="majorHAnsi"/>
      <w:color w:val="2F5496" w:themeColor="accent1" w:themeShade="bf"/>
      <w:kern w:val="0"/>
      <w:sz w:val="32"/>
      <w:szCs w:val="32"/>
    </w:rPr>
  </w:style>
  <w:style w:type="character" w:styleId="Heading2Char" w:customStyle="1">
    <w:name w:val="Heading 2 Char"/>
    <w:basedOn w:val="DefaultParagraphFont"/>
    <w:link w:val="Heading2"/>
    <w:uiPriority w:val="9"/>
    <w:qFormat/>
    <w:rsid w:val="00140e00"/>
    <w:rPr>
      <w:rFonts w:ascii="Calibri Light" w:hAnsi="Calibri Light" w:eastAsia="" w:cs="" w:asciiTheme="majorHAnsi" w:cstheme="majorBidi" w:eastAsiaTheme="majorEastAsia" w:hAnsiTheme="majorHAnsi"/>
      <w:color w:val="2F5496" w:themeColor="accent1" w:themeShade="bf"/>
      <w:kern w:val="0"/>
      <w:sz w:val="26"/>
      <w:szCs w:val="26"/>
    </w:rPr>
  </w:style>
  <w:style w:type="character" w:styleId="HeaderChar" w:customStyle="1">
    <w:name w:val="Header Char"/>
    <w:basedOn w:val="DefaultParagraphFont"/>
    <w:link w:val="Header"/>
    <w:uiPriority w:val="99"/>
    <w:qFormat/>
    <w:rsid w:val="008b4703"/>
    <w:rPr>
      <w:rFonts w:ascii="Calibri" w:hAnsi="Calibri" w:asciiTheme="minorHAnsi" w:hAnsiTheme="minorHAnsi"/>
      <w:kern w:val="0"/>
    </w:rPr>
  </w:style>
  <w:style w:type="character" w:styleId="FooterChar" w:customStyle="1">
    <w:name w:val="Footer Char"/>
    <w:basedOn w:val="DefaultParagraphFont"/>
    <w:link w:val="Footer"/>
    <w:uiPriority w:val="99"/>
    <w:qFormat/>
    <w:rsid w:val="008b4703"/>
    <w:rPr>
      <w:rFonts w:ascii="Calibri" w:hAnsi="Calibri" w:asciiTheme="minorHAnsi" w:hAnsiTheme="minorHAnsi"/>
      <w:kern w:val="0"/>
    </w:rPr>
  </w:style>
  <w:style w:type="character" w:styleId="InternetLink">
    <w:name w:val="Hyperlink"/>
    <w:basedOn w:val="DefaultParagraphFont"/>
    <w:uiPriority w:val="99"/>
    <w:unhideWhenUsed/>
    <w:rsid w:val="00d77f1b"/>
    <w:rPr>
      <w:color w:val="0563C1" w:themeColor="hyperlink"/>
      <w:u w:val="single"/>
    </w:rPr>
  </w:style>
  <w:style w:type="character" w:styleId="BalloonTextChar" w:customStyle="1">
    <w:name w:val="Balloon Text Char"/>
    <w:basedOn w:val="DefaultParagraphFont"/>
    <w:link w:val="BalloonText"/>
    <w:uiPriority w:val="99"/>
    <w:semiHidden/>
    <w:qFormat/>
    <w:rsid w:val="00d75383"/>
    <w:rPr>
      <w:rFonts w:ascii="Tahoma" w:hAnsi="Tahoma" w:cs="Tahoma"/>
      <w:kern w:val="0"/>
      <w:sz w:val="16"/>
      <w:szCs w:val="16"/>
    </w:rPr>
  </w:style>
  <w:style w:type="character" w:styleId="Annotationreference">
    <w:name w:val="annotation reference"/>
    <w:basedOn w:val="DefaultParagraphFont"/>
    <w:uiPriority w:val="99"/>
    <w:semiHidden/>
    <w:unhideWhenUsed/>
    <w:qFormat/>
    <w:rsid w:val="00847a9c"/>
    <w:rPr>
      <w:sz w:val="16"/>
      <w:szCs w:val="16"/>
    </w:rPr>
  </w:style>
  <w:style w:type="character" w:styleId="CommentTextChar" w:customStyle="1">
    <w:name w:val="Comment Text Char"/>
    <w:basedOn w:val="DefaultParagraphFont"/>
    <w:link w:val="CommentText"/>
    <w:uiPriority w:val="99"/>
    <w:qFormat/>
    <w:rsid w:val="00847a9c"/>
    <w:rPr>
      <w:rFonts w:ascii="Calibri" w:hAnsi="Calibri" w:asciiTheme="minorHAnsi" w:hAnsiTheme="minorHAnsi"/>
      <w:kern w:val="0"/>
      <w:sz w:val="20"/>
      <w:szCs w:val="20"/>
    </w:rPr>
  </w:style>
  <w:style w:type="character" w:styleId="CommentSubjectChar" w:customStyle="1">
    <w:name w:val="Comment Subject Char"/>
    <w:basedOn w:val="CommentTextChar"/>
    <w:link w:val="CommentSubject"/>
    <w:uiPriority w:val="99"/>
    <w:semiHidden/>
    <w:qFormat/>
    <w:rsid w:val="00847a9c"/>
    <w:rPr>
      <w:rFonts w:ascii="Calibri" w:hAnsi="Calibri" w:asciiTheme="minorHAnsi" w:hAnsiTheme="minorHAnsi"/>
      <w:b/>
      <w:bCs/>
      <w:kern w:val="0"/>
      <w:sz w:val="20"/>
      <w:szCs w:val="20"/>
    </w:rPr>
  </w:style>
  <w:style w:type="character" w:styleId="FootnoteTextChar" w:customStyle="1">
    <w:name w:val="Footnote Text Char"/>
    <w:basedOn w:val="DefaultParagraphFont"/>
    <w:link w:val="FootnoteText"/>
    <w:uiPriority w:val="99"/>
    <w:semiHidden/>
    <w:qFormat/>
    <w:rsid w:val="00f31df7"/>
    <w:rPr>
      <w:rFonts w:ascii="Calibri" w:hAnsi="Calibri" w:asciiTheme="minorHAnsi" w:hAnsiTheme="minorHAnsi"/>
      <w:kern w:val="0"/>
      <w:sz w:val="20"/>
      <w:szCs w:val="20"/>
    </w:rPr>
  </w:style>
  <w:style w:type="character" w:styleId="FootnoteCharacters">
    <w:name w:val="Footnote Characters"/>
    <w:basedOn w:val="DefaultParagraphFont"/>
    <w:uiPriority w:val="99"/>
    <w:semiHidden/>
    <w:unhideWhenUsed/>
    <w:qFormat/>
    <w:rsid w:val="00f31df7"/>
    <w:rPr>
      <w:vertAlign w:val="superscript"/>
    </w:rPr>
  </w:style>
  <w:style w:type="character" w:styleId="FootnoteAnchor">
    <w:name w:val="Footnote Anchor"/>
    <w:rPr>
      <w:vertAlign w:val="superscript"/>
    </w:rPr>
  </w:style>
  <w:style w:type="character" w:styleId="Rvts2" w:customStyle="1">
    <w:name w:val="rvts2"/>
    <w:basedOn w:val="DefaultParagraphFont"/>
    <w:qFormat/>
    <w:rsid w:val="00f31df7"/>
    <w:rPr/>
  </w:style>
  <w:style w:type="character" w:styleId="Bodytext" w:customStyle="1">
    <w:name w:val="Body text_"/>
    <w:basedOn w:val="DefaultParagraphFont"/>
    <w:uiPriority w:val="99"/>
    <w:qFormat/>
    <w:rsid w:val="006b50be"/>
    <w:rPr>
      <w:rFonts w:ascii="Times New Roman" w:hAnsi="Times New Roman" w:eastAsia="Times New Roman" w:cs="Times New Roman"/>
      <w:b w:val="false"/>
      <w:bCs w:val="false"/>
      <w:i w:val="false"/>
      <w:iCs w:val="false"/>
      <w:caps w:val="false"/>
      <w:smallCaps w:val="false"/>
      <w:strike w:val="false"/>
      <w:dstrike w:val="false"/>
      <w:u w:val="none"/>
      <w:effect w:val="none"/>
    </w:rPr>
  </w:style>
  <w:style w:type="character" w:styleId="Heading11" w:customStyle="1">
    <w:name w:val="Heading #1_"/>
    <w:basedOn w:val="DefaultParagraphFont"/>
    <w:uiPriority w:val="99"/>
    <w:qFormat/>
    <w:rsid w:val="006b50be"/>
    <w:rPr>
      <w:rFonts w:ascii="Georgia" w:hAnsi="Georgia" w:eastAsia="Georgia" w:cs="Georgia"/>
      <w:b/>
      <w:bCs/>
      <w:i w:val="false"/>
      <w:iCs w:val="false"/>
      <w:caps w:val="false"/>
      <w:smallCaps w:val="false"/>
      <w:strike w:val="false"/>
      <w:dstrike w:val="false"/>
      <w:u w:val="none"/>
      <w:effect w:val="none"/>
    </w:rPr>
  </w:style>
  <w:style w:type="character" w:styleId="BodyTextChar" w:customStyle="1">
    <w:name w:val="Body Text Char"/>
    <w:basedOn w:val="DefaultParagraphFont"/>
    <w:link w:val="BodyText0"/>
    <w:qFormat/>
    <w:rsid w:val="00da2fa6"/>
    <w:rPr>
      <w:rFonts w:ascii="Times New Roman" w:hAnsi="Times New Roman" w:eastAsia="Times New Roman" w:cs="Times New Roman"/>
      <w:kern w:val="0"/>
      <w:lang w:val="en-US"/>
    </w:rPr>
  </w:style>
  <w:style w:type="character" w:styleId="Other" w:customStyle="1">
    <w:name w:val="Other_"/>
    <w:basedOn w:val="DefaultParagraphFont"/>
    <w:link w:val="Other"/>
    <w:qFormat/>
    <w:rsid w:val="00c46a68"/>
    <w:rPr>
      <w:rFonts w:ascii="Times New Roman" w:hAnsi="Times New Roman" w:eastAsia="Times New Roman" w:cs="Times New Roman"/>
      <w:color w:val="000000"/>
      <w:kern w:val="0"/>
      <w:sz w:val="24"/>
      <w:szCs w:val="24"/>
      <w:lang w:eastAsia="ro-RO" w:bidi="ro-RO"/>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nhideWhenUsed/>
    <w:qFormat/>
    <w:rsid w:val="00da2fa6"/>
    <w:pPr>
      <w:widowControl w:val="false"/>
      <w:suppressAutoHyphens w:val="true"/>
      <w:spacing w:before="0" w:after="60"/>
    </w:pPr>
    <w:rPr>
      <w:rFonts w:ascii="Times New Roman" w:hAnsi="Times New Roman" w:eastAsia="Times New Roman" w:cs="Times New Roman"/>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rsid w:val="0022752a"/>
    <w:pPr>
      <w:spacing w:before="0" w:after="120"/>
      <w:ind w:left="720" w:hanging="0"/>
      <w:contextualSpacing/>
    </w:pPr>
    <w:rPr/>
  </w:style>
  <w:style w:type="paragraph" w:styleId="NoSpacing">
    <w:name w:val="No Spacing"/>
    <w:uiPriority w:val="1"/>
    <w:qFormat/>
    <w:rsid w:val="0022752a"/>
    <w:pPr>
      <w:widowControl/>
      <w:suppressAutoHyphens w:val="true"/>
      <w:bidi w:val="0"/>
      <w:spacing w:lineRule="auto" w:line="240" w:before="0" w:after="0"/>
      <w:jc w:val="left"/>
    </w:pPr>
    <w:rPr>
      <w:rFonts w:ascii="Calibri" w:hAnsi="Calibri" w:eastAsia="Calibri" w:cs="" w:asciiTheme="minorHAnsi" w:hAnsiTheme="minorHAnsi"/>
      <w:color w:val="44546A" w:themeColor="text2"/>
      <w:kern w:val="0"/>
      <w:sz w:val="20"/>
      <w:szCs w:val="20"/>
      <w:lang w:val="en-US" w:eastAsia="en-US" w:bidi="ar-SA"/>
    </w:rPr>
  </w:style>
  <w:style w:type="paragraph" w:styleId="TOCHeading">
    <w:name w:val="TOC Heading"/>
    <w:basedOn w:val="Heading1"/>
    <w:next w:val="Normal"/>
    <w:uiPriority w:val="39"/>
    <w:unhideWhenUsed/>
    <w:qFormat/>
    <w:rsid w:val="0022752a"/>
    <w:pPr>
      <w:spacing w:lineRule="auto" w:line="259"/>
    </w:pPr>
    <w:rPr>
      <w:lang w:val="en-US"/>
    </w:rPr>
  </w:style>
  <w:style w:type="paragraph" w:styleId="HeaderandFooter">
    <w:name w:val="Header and Footer"/>
    <w:basedOn w:val="Normal"/>
    <w:qFormat/>
    <w:pPr/>
    <w:rPr/>
  </w:style>
  <w:style w:type="paragraph" w:styleId="Header">
    <w:name w:val="Header"/>
    <w:basedOn w:val="Normal"/>
    <w:link w:val="HeaderChar"/>
    <w:uiPriority w:val="99"/>
    <w:unhideWhenUsed/>
    <w:rsid w:val="008b4703"/>
    <w:pPr>
      <w:tabs>
        <w:tab w:val="clear" w:pos="708"/>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b4703"/>
    <w:pPr>
      <w:tabs>
        <w:tab w:val="clear" w:pos="708"/>
        <w:tab w:val="center" w:pos="4680" w:leader="none"/>
        <w:tab w:val="right" w:pos="9360" w:leader="none"/>
      </w:tabs>
      <w:spacing w:lineRule="auto" w:line="240" w:before="0" w:after="0"/>
    </w:pPr>
    <w:rPr/>
  </w:style>
  <w:style w:type="paragraph" w:styleId="Contents1">
    <w:name w:val="TOC 1"/>
    <w:basedOn w:val="Normal"/>
    <w:next w:val="Normal"/>
    <w:autoRedefine/>
    <w:uiPriority w:val="39"/>
    <w:unhideWhenUsed/>
    <w:rsid w:val="00d77f1b"/>
    <w:pPr>
      <w:spacing w:before="0" w:after="100"/>
    </w:pPr>
    <w:rPr/>
  </w:style>
  <w:style w:type="paragraph" w:styleId="Contents2">
    <w:name w:val="TOC 2"/>
    <w:basedOn w:val="Normal"/>
    <w:next w:val="Normal"/>
    <w:autoRedefine/>
    <w:uiPriority w:val="39"/>
    <w:unhideWhenUsed/>
    <w:rsid w:val="00d77f1b"/>
    <w:pPr>
      <w:spacing w:before="0" w:after="100"/>
      <w:ind w:left="220" w:hanging="0"/>
    </w:pPr>
    <w:rPr/>
  </w:style>
  <w:style w:type="paragraph" w:styleId="BalloonText">
    <w:name w:val="Balloon Text"/>
    <w:basedOn w:val="Normal"/>
    <w:link w:val="BalloonTextChar"/>
    <w:uiPriority w:val="99"/>
    <w:semiHidden/>
    <w:unhideWhenUsed/>
    <w:qFormat/>
    <w:rsid w:val="00d75383"/>
    <w:pPr>
      <w:spacing w:lineRule="auto" w:line="240" w:before="0" w:after="0"/>
    </w:pPr>
    <w:rPr>
      <w:rFonts w:ascii="Tahoma" w:hAnsi="Tahoma" w:cs="Tahoma"/>
      <w:sz w:val="16"/>
      <w:szCs w:val="16"/>
    </w:rPr>
  </w:style>
  <w:style w:type="paragraph" w:styleId="Revision">
    <w:name w:val="Revision"/>
    <w:uiPriority w:val="99"/>
    <w:semiHidden/>
    <w:qFormat/>
    <w:rsid w:val="00ec5295"/>
    <w:pPr>
      <w:widowControl/>
      <w:suppressAutoHyphens w:val="true"/>
      <w:bidi w:val="0"/>
      <w:spacing w:lineRule="auto" w:line="240" w:before="0" w:after="0"/>
      <w:jc w:val="left"/>
    </w:pPr>
    <w:rPr>
      <w:rFonts w:ascii="Calibri" w:hAnsi="Calibri" w:eastAsia="Calibri" w:cs="" w:asciiTheme="minorHAnsi" w:hAnsiTheme="minorHAnsi"/>
      <w:color w:val="auto"/>
      <w:kern w:val="0"/>
      <w:sz w:val="22"/>
      <w:szCs w:val="22"/>
      <w:lang w:val="ro-RO" w:eastAsia="en-US" w:bidi="ar-SA"/>
    </w:rPr>
  </w:style>
  <w:style w:type="paragraph" w:styleId="Annotationtext">
    <w:name w:val="annotation text"/>
    <w:basedOn w:val="Normal"/>
    <w:link w:val="CommentTextChar"/>
    <w:uiPriority w:val="99"/>
    <w:unhideWhenUsed/>
    <w:qFormat/>
    <w:rsid w:val="00847a9c"/>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47a9c"/>
    <w:pPr/>
    <w:rPr>
      <w:b/>
      <w:bCs/>
    </w:rPr>
  </w:style>
  <w:style w:type="paragraph" w:styleId="Footnote">
    <w:name w:val="Footnote Text"/>
    <w:basedOn w:val="Normal"/>
    <w:link w:val="FootnoteTextChar"/>
    <w:uiPriority w:val="99"/>
    <w:semiHidden/>
    <w:unhideWhenUsed/>
    <w:rsid w:val="00f31df7"/>
    <w:pPr>
      <w:spacing w:lineRule="auto" w:line="240" w:before="0" w:after="0"/>
    </w:pPr>
    <w:rPr>
      <w:sz w:val="20"/>
      <w:szCs w:val="20"/>
    </w:rPr>
  </w:style>
  <w:style w:type="paragraph" w:styleId="NormalWeb">
    <w:name w:val="Normal (Web)"/>
    <w:basedOn w:val="Normal"/>
    <w:uiPriority w:val="99"/>
    <w:unhideWhenUsed/>
    <w:qFormat/>
    <w:rsid w:val="00f31df7"/>
    <w:pPr>
      <w:spacing w:lineRule="auto" w:line="240" w:beforeAutospacing="1" w:afterAutospacing="1"/>
    </w:pPr>
    <w:rPr>
      <w:rFonts w:ascii="Times New Roman" w:hAnsi="Times New Roman" w:eastAsia="Times New Roman" w:cs="Times New Roman"/>
      <w:sz w:val="24"/>
      <w:szCs w:val="24"/>
      <w:lang w:val="en-GB" w:eastAsia="en-GB"/>
    </w:rPr>
  </w:style>
  <w:style w:type="paragraph" w:styleId="Default" w:customStyle="1">
    <w:name w:val="Default"/>
    <w:qFormat/>
    <w:rsid w:val="00da2fa6"/>
    <w:pPr>
      <w:widowControl/>
      <w:suppressAutoHyphens w:val="true"/>
      <w:bidi w:val="0"/>
      <w:spacing w:lineRule="auto" w:line="240" w:before="0" w:after="0"/>
      <w:jc w:val="left"/>
    </w:pPr>
    <w:rPr>
      <w:rFonts w:ascii="Calibri" w:hAnsi="Calibri" w:eastAsia="Calibri" w:cs="Calibri"/>
      <w:color w:val="000000"/>
      <w:kern w:val="0"/>
      <w:sz w:val="24"/>
      <w:szCs w:val="24"/>
      <w:lang w:val="en-US" w:eastAsia="en-US" w:bidi="ar-SA"/>
    </w:rPr>
  </w:style>
  <w:style w:type="paragraph" w:styleId="Other1" w:customStyle="1">
    <w:name w:val="Other"/>
    <w:basedOn w:val="Normal"/>
    <w:link w:val="Other0"/>
    <w:qFormat/>
    <w:rsid w:val="00954a87"/>
    <w:pPr>
      <w:widowControl w:val="false"/>
      <w:suppressAutoHyphens w:val="true"/>
      <w:spacing w:lineRule="auto" w:line="360" w:before="0" w:after="0"/>
      <w:ind w:firstLine="320"/>
    </w:pPr>
    <w:rPr>
      <w:rFonts w:ascii="Times New Roman" w:hAnsi="Times New Roman" w:eastAsia="Times New Roman" w:cs="Times New Roman"/>
      <w:color w:val="000000"/>
      <w:sz w:val="24"/>
      <w:szCs w:val="24"/>
      <w:lang w:eastAsia="ro-RO" w:bidi="ro-RO"/>
    </w:rPr>
  </w:style>
  <w:style w:type="paragraph" w:styleId="BodyText1" w:customStyle="1">
    <w:name w:val="Body Text1"/>
    <w:basedOn w:val="Normal"/>
    <w:uiPriority w:val="99"/>
    <w:qFormat/>
    <w:rsid w:val="007c3732"/>
    <w:pPr>
      <w:widowControl w:val="false"/>
      <w:suppressAutoHyphens w:val="true"/>
      <w:spacing w:lineRule="auto" w:line="240" w:before="0" w:after="0"/>
      <w:ind w:firstLine="400"/>
    </w:pPr>
    <w:rPr>
      <w:rFonts w:ascii="Georgia" w:hAnsi="Georgia" w:eastAsia="Courier New" w:cs="Georgia"/>
      <w:color w:val="000000"/>
      <w:sz w:val="24"/>
      <w:szCs w:val="24"/>
      <w:lang w:eastAsia="ro-RO"/>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7c69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3B84-1EAD-4674-96EF-D04EB640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Application>LibreOffice/7.1.0.3$Windows_X86_64 LibreOffice_project/f6099ecf3d29644b5008cc8f48f42f4a40986e4c</Application>
  <AppVersion>15.0000</AppVersion>
  <Pages>34</Pages>
  <Words>9407</Words>
  <Characters>59183</Characters>
  <CharactersWithSpaces>67711</CharactersWithSpaces>
  <Paragraphs>949</Paragraphs>
  <Company>MyCompany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2025-05-08T05:08:00Z</dcterms:created>
  <dc:creator>machetă</dc:creator>
  <dc:description/>
  <dc:language>ro-RO</dc:language>
  <cp:lastModifiedBy/>
  <cp:lastPrinted>2025-03-21T15:39:00Z</cp:lastPrinted>
  <dcterms:modified xsi:type="dcterms:W3CDTF">2025-05-09T12:00:34Z</dcterms:modified>
  <cp:revision>17</cp:revision>
  <dc:subject>a Acționarilor TRANSPORT PUBLIC S.A.                                           pentru perioada 2025 -</dc:subject>
  <dc:title>Scrisoarea de Așteptări</dc:title>
</cp:coreProperties>
</file>

<file path=docProps/custom.xml><?xml version="1.0" encoding="utf-8"?>
<Properties xmlns="http://schemas.openxmlformats.org/officeDocument/2006/custom-properties" xmlns:vt="http://schemas.openxmlformats.org/officeDocument/2006/docPropsVTypes"/>
</file>